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600" w:lineRule="exact"/>
        <w:jc w:val="center"/>
        <w:rPr>
          <w:rFonts w:hint="eastAsia" w:ascii="宋体" w:hAnsi="宋体" w:eastAsia="宋体" w:cs="宋体"/>
          <w:b/>
          <w:bCs/>
          <w:color w:val="auto"/>
          <w:sz w:val="44"/>
          <w:szCs w:val="44"/>
        </w:rPr>
      </w:pPr>
    </w:p>
    <w:p>
      <w:pPr>
        <w:spacing w:before="156" w:beforeLines="50" w:line="600" w:lineRule="exact"/>
        <w:jc w:val="center"/>
        <w:rPr>
          <w:rFonts w:hint="eastAsia" w:ascii="宋体" w:hAnsi="宋体" w:eastAsia="宋体" w:cs="宋体"/>
          <w:b/>
          <w:bCs/>
          <w:color w:val="auto"/>
          <w:sz w:val="44"/>
          <w:szCs w:val="44"/>
        </w:rPr>
      </w:pPr>
    </w:p>
    <w:p>
      <w:pPr>
        <w:spacing w:before="156" w:beforeLines="50" w:line="600" w:lineRule="exact"/>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江西兆驰半导体有限公司（氨水回收装置）</w:t>
      </w:r>
    </w:p>
    <w:p>
      <w:pPr>
        <w:spacing w:before="156" w:beforeLines="50" w:line="600" w:lineRule="exact"/>
        <w:jc w:val="center"/>
        <w:rPr>
          <w:rFonts w:hint="eastAsia" w:ascii="宋体" w:hAnsi="宋体" w:eastAsia="宋体" w:cs="宋体"/>
          <w:b/>
          <w:bCs/>
          <w:color w:val="auto"/>
          <w:sz w:val="48"/>
          <w:szCs w:val="48"/>
          <w:lang w:val="zh-CN"/>
        </w:rPr>
      </w:pPr>
      <w:r>
        <w:rPr>
          <w:rFonts w:hint="eastAsia" w:ascii="黑体" w:hAnsi="黑体" w:eastAsia="黑体" w:cs="黑体"/>
          <w:b/>
          <w:bCs/>
          <w:color w:val="auto"/>
          <w:sz w:val="52"/>
          <w:szCs w:val="52"/>
          <w:lang w:val="zh-CN"/>
        </w:rPr>
        <w:t>安全</w:t>
      </w:r>
      <w:r>
        <w:rPr>
          <w:rFonts w:hint="eastAsia" w:ascii="黑体" w:hAnsi="黑体" w:eastAsia="黑体" w:cs="黑体"/>
          <w:b/>
          <w:bCs/>
          <w:color w:val="auto"/>
          <w:sz w:val="52"/>
          <w:szCs w:val="52"/>
        </w:rPr>
        <w:t>现状</w:t>
      </w:r>
      <w:r>
        <w:rPr>
          <w:rFonts w:hint="eastAsia" w:ascii="黑体" w:hAnsi="黑体" w:eastAsia="黑体" w:cs="黑体"/>
          <w:b/>
          <w:bCs/>
          <w:color w:val="auto"/>
          <w:sz w:val="52"/>
          <w:szCs w:val="52"/>
          <w:lang w:val="zh-CN"/>
        </w:rPr>
        <w:t>评价报告</w:t>
      </w:r>
    </w:p>
    <w:p>
      <w:pPr>
        <w:ind w:firstLine="3596" w:firstLineChars="814"/>
        <w:rPr>
          <w:rFonts w:hint="eastAsia" w:ascii="宋体" w:hAnsi="宋体" w:eastAsia="宋体" w:cs="宋体"/>
          <w:b/>
          <w:bCs/>
          <w:color w:val="auto"/>
          <w:sz w:val="44"/>
        </w:rPr>
      </w:pPr>
      <w:r>
        <w:rPr>
          <w:rFonts w:hint="eastAsia" w:ascii="宋体" w:hAnsi="宋体" w:eastAsia="宋体" w:cs="宋体"/>
          <w:b/>
          <w:bCs/>
          <w:color w:val="auto"/>
          <w:sz w:val="44"/>
        </w:rPr>
        <w:t>（</w:t>
      </w:r>
      <w:r>
        <w:rPr>
          <w:rFonts w:hint="eastAsia" w:ascii="宋体" w:hAnsi="宋体" w:eastAsia="宋体" w:cs="宋体"/>
          <w:b/>
          <w:bCs/>
          <w:color w:val="auto"/>
          <w:sz w:val="44"/>
          <w:lang w:eastAsia="zh-CN"/>
        </w:rPr>
        <w:t>终</w:t>
      </w:r>
      <w:r>
        <w:rPr>
          <w:rFonts w:hint="eastAsia" w:ascii="宋体" w:hAnsi="宋体" w:eastAsia="宋体" w:cs="宋体"/>
          <w:b/>
          <w:bCs/>
          <w:color w:val="auto"/>
          <w:sz w:val="44"/>
        </w:rPr>
        <w:t>稿）</w:t>
      </w:r>
    </w:p>
    <w:p>
      <w:pPr>
        <w:ind w:firstLine="883"/>
        <w:jc w:val="center"/>
        <w:rPr>
          <w:rFonts w:hint="eastAsia" w:ascii="宋体" w:hAnsi="宋体" w:eastAsia="宋体" w:cs="宋体"/>
          <w:b/>
          <w:bCs/>
          <w:color w:val="auto"/>
          <w:sz w:val="44"/>
        </w:rPr>
      </w:pPr>
    </w:p>
    <w:p>
      <w:pPr>
        <w:ind w:firstLine="883"/>
        <w:jc w:val="center"/>
        <w:rPr>
          <w:rFonts w:hint="eastAsia" w:ascii="宋体" w:hAnsi="宋体" w:eastAsia="宋体" w:cs="宋体"/>
          <w:b/>
          <w:bCs/>
          <w:color w:val="auto"/>
          <w:sz w:val="44"/>
        </w:rPr>
      </w:pPr>
    </w:p>
    <w:p>
      <w:pPr>
        <w:ind w:firstLine="883"/>
        <w:jc w:val="center"/>
        <w:rPr>
          <w:rFonts w:hint="eastAsia" w:ascii="宋体" w:hAnsi="宋体" w:eastAsia="宋体" w:cs="宋体"/>
          <w:b/>
          <w:bCs/>
          <w:color w:val="auto"/>
          <w:sz w:val="44"/>
        </w:rPr>
      </w:pPr>
    </w:p>
    <w:p>
      <w:pPr>
        <w:ind w:firstLine="883"/>
        <w:jc w:val="center"/>
        <w:rPr>
          <w:rFonts w:hint="eastAsia" w:ascii="宋体" w:hAnsi="宋体" w:eastAsia="宋体" w:cs="宋体"/>
          <w:b/>
          <w:bCs/>
          <w:color w:val="auto"/>
          <w:sz w:val="44"/>
        </w:rPr>
      </w:pPr>
    </w:p>
    <w:p>
      <w:pPr>
        <w:ind w:firstLine="883"/>
        <w:jc w:val="center"/>
        <w:rPr>
          <w:rFonts w:hint="eastAsia" w:ascii="宋体" w:hAnsi="宋体" w:eastAsia="宋体" w:cs="宋体"/>
          <w:b/>
          <w:bCs/>
          <w:color w:val="auto"/>
          <w:sz w:val="44"/>
        </w:rPr>
      </w:pPr>
    </w:p>
    <w:p>
      <w:pPr>
        <w:ind w:firstLine="883"/>
        <w:jc w:val="center"/>
        <w:rPr>
          <w:rFonts w:hint="eastAsia" w:ascii="宋体" w:hAnsi="宋体" w:eastAsia="宋体" w:cs="宋体"/>
          <w:b/>
          <w:bCs/>
          <w:color w:val="auto"/>
          <w:sz w:val="44"/>
        </w:rPr>
      </w:pPr>
    </w:p>
    <w:p>
      <w:pPr>
        <w:ind w:firstLine="883"/>
        <w:jc w:val="center"/>
        <w:rPr>
          <w:rFonts w:hint="eastAsia" w:ascii="宋体" w:hAnsi="宋体" w:eastAsia="宋体" w:cs="宋体"/>
          <w:b/>
          <w:bCs/>
          <w:color w:val="auto"/>
          <w:sz w:val="44"/>
        </w:rPr>
      </w:pPr>
    </w:p>
    <w:p>
      <w:pPr>
        <w:ind w:firstLine="883"/>
        <w:jc w:val="center"/>
        <w:rPr>
          <w:rFonts w:hint="eastAsia" w:ascii="宋体" w:hAnsi="宋体" w:eastAsia="宋体" w:cs="宋体"/>
          <w:b/>
          <w:bCs/>
          <w:color w:val="auto"/>
          <w:sz w:val="44"/>
        </w:rPr>
      </w:pPr>
    </w:p>
    <w:p>
      <w:pPr>
        <w:ind w:firstLine="883"/>
        <w:jc w:val="center"/>
        <w:rPr>
          <w:rFonts w:hint="eastAsia" w:ascii="宋体" w:hAnsi="宋体" w:eastAsia="宋体" w:cs="宋体"/>
          <w:b/>
          <w:bCs/>
          <w:color w:val="auto"/>
          <w:sz w:val="44"/>
        </w:rPr>
      </w:pPr>
    </w:p>
    <w:p>
      <w:pPr>
        <w:ind w:firstLine="883"/>
        <w:jc w:val="center"/>
        <w:rPr>
          <w:rFonts w:hint="eastAsia" w:ascii="宋体" w:hAnsi="宋体" w:eastAsia="宋体" w:cs="宋体"/>
          <w:b/>
          <w:bCs/>
          <w:color w:val="auto"/>
          <w:sz w:val="44"/>
        </w:rPr>
      </w:pPr>
    </w:p>
    <w:p>
      <w:pPr>
        <w:spacing w:line="600" w:lineRule="exact"/>
        <w:ind w:firstLine="883"/>
        <w:jc w:val="center"/>
        <w:rPr>
          <w:rFonts w:hint="eastAsia" w:ascii="宋体" w:hAnsi="宋体" w:eastAsia="宋体" w:cs="宋体"/>
          <w:b/>
          <w:color w:val="auto"/>
          <w:kern w:val="0"/>
          <w:sz w:val="44"/>
          <w:szCs w:val="44"/>
        </w:rPr>
      </w:pPr>
    </w:p>
    <w:p>
      <w:pPr>
        <w:spacing w:line="600" w:lineRule="exact"/>
        <w:ind w:firstLine="883"/>
        <w:jc w:val="center"/>
        <w:rPr>
          <w:rFonts w:hint="eastAsia" w:ascii="宋体" w:hAnsi="宋体" w:eastAsia="宋体" w:cs="宋体"/>
          <w:b/>
          <w:color w:val="auto"/>
          <w:kern w:val="0"/>
          <w:sz w:val="44"/>
          <w:szCs w:val="44"/>
        </w:rPr>
      </w:pPr>
    </w:p>
    <w:p>
      <w:pPr>
        <w:spacing w:line="600" w:lineRule="exact"/>
        <w:ind w:firstLine="883"/>
        <w:jc w:val="center"/>
        <w:rPr>
          <w:rFonts w:hint="eastAsia" w:ascii="宋体" w:hAnsi="宋体" w:eastAsia="宋体" w:cs="宋体"/>
          <w:b/>
          <w:color w:val="auto"/>
          <w:kern w:val="0"/>
          <w:sz w:val="44"/>
          <w:szCs w:val="44"/>
        </w:rPr>
      </w:pPr>
    </w:p>
    <w:p>
      <w:pPr>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江西</w:t>
      </w:r>
      <w:r>
        <w:rPr>
          <w:rFonts w:hint="eastAsia" w:ascii="宋体" w:hAnsi="宋体" w:eastAsia="宋体" w:cs="宋体"/>
          <w:b/>
          <w:bCs/>
          <w:color w:val="auto"/>
          <w:sz w:val="44"/>
          <w:szCs w:val="44"/>
        </w:rPr>
        <w:t>赣昌安全生产科技服务有限公司</w:t>
      </w:r>
    </w:p>
    <w:p>
      <w:pPr>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资质证书编号：APJ-（赣）-00</w:t>
      </w:r>
      <w:r>
        <w:rPr>
          <w:rFonts w:hint="eastAsia" w:ascii="宋体" w:hAnsi="宋体" w:eastAsia="宋体" w:cs="宋体"/>
          <w:b/>
          <w:bCs/>
          <w:color w:val="auto"/>
          <w:sz w:val="32"/>
          <w:szCs w:val="32"/>
        </w:rPr>
        <w:t>6</w:t>
      </w:r>
    </w:p>
    <w:p>
      <w:pPr>
        <w:ind w:firstLine="3579" w:firstLineChars="1114"/>
        <w:rPr>
          <w:rFonts w:hint="eastAsia" w:ascii="宋体" w:hAnsi="宋体" w:eastAsia="宋体" w:cs="宋体"/>
          <w:b/>
          <w:color w:val="auto"/>
          <w:kern w:val="0"/>
          <w:sz w:val="44"/>
          <w:szCs w:val="44"/>
        </w:rPr>
        <w:sectPr>
          <w:headerReference r:id="rId5" w:type="first"/>
          <w:footerReference r:id="rId6" w:type="first"/>
          <w:pgSz w:w="11906" w:h="16838"/>
          <w:pgMar w:top="1417" w:right="1417" w:bottom="1417" w:left="1417" w:header="851" w:footer="992" w:gutter="0"/>
          <w:pgNumType w:start="1"/>
          <w:cols w:space="720" w:num="1"/>
          <w:docGrid w:type="lines" w:linePitch="312" w:charSpace="0"/>
        </w:sectPr>
      </w:pPr>
      <w:r>
        <w:rPr>
          <w:rFonts w:hint="eastAsia" w:ascii="宋体" w:hAnsi="宋体" w:eastAsia="宋体" w:cs="宋体"/>
          <w:b/>
          <w:color w:val="auto"/>
          <w:kern w:val="0"/>
          <w:sz w:val="32"/>
          <w:szCs w:val="32"/>
        </w:rPr>
        <w:t>2022年</w:t>
      </w:r>
      <w:r>
        <w:rPr>
          <w:rFonts w:hint="eastAsia" w:ascii="宋体" w:hAnsi="宋体" w:eastAsia="宋体" w:cs="宋体"/>
          <w:b/>
          <w:color w:val="auto"/>
          <w:kern w:val="0"/>
          <w:sz w:val="32"/>
          <w:szCs w:val="32"/>
          <w:lang w:val="en-US" w:eastAsia="zh-CN"/>
        </w:rPr>
        <w:t>4</w:t>
      </w:r>
      <w:r>
        <w:rPr>
          <w:rFonts w:hint="eastAsia" w:ascii="宋体" w:hAnsi="宋体" w:eastAsia="宋体" w:cs="宋体"/>
          <w:b/>
          <w:color w:val="auto"/>
          <w:kern w:val="0"/>
          <w:sz w:val="32"/>
          <w:szCs w:val="32"/>
        </w:rPr>
        <w:t>月</w:t>
      </w:r>
      <w:r>
        <w:rPr>
          <w:rFonts w:hint="eastAsia" w:ascii="宋体" w:hAnsi="宋体" w:eastAsia="宋体" w:cs="宋体"/>
          <w:b/>
          <w:color w:val="auto"/>
          <w:kern w:val="0"/>
          <w:sz w:val="32"/>
          <w:szCs w:val="32"/>
          <w:lang w:val="en-US" w:eastAsia="zh-CN"/>
        </w:rPr>
        <w:t>21</w:t>
      </w:r>
      <w:r>
        <w:rPr>
          <w:rFonts w:hint="eastAsia" w:ascii="宋体" w:hAnsi="宋体" w:eastAsia="宋体" w:cs="宋体"/>
          <w:b/>
          <w:color w:val="auto"/>
          <w:kern w:val="0"/>
          <w:sz w:val="32"/>
          <w:szCs w:val="32"/>
        </w:rPr>
        <w:t>日</w:t>
      </w:r>
    </w:p>
    <w:p>
      <w:pPr>
        <w:spacing w:before="156" w:beforeLines="50" w:line="600" w:lineRule="exact"/>
        <w:jc w:val="center"/>
        <w:rPr>
          <w:rFonts w:hint="eastAsia" w:ascii="宋体" w:hAnsi="宋体" w:eastAsia="宋体" w:cs="宋体"/>
          <w:b/>
          <w:bCs/>
          <w:color w:val="auto"/>
          <w:sz w:val="44"/>
          <w:szCs w:val="44"/>
        </w:rPr>
      </w:pPr>
    </w:p>
    <w:p>
      <w:pPr>
        <w:spacing w:before="156" w:beforeLines="50" w:line="600" w:lineRule="exact"/>
        <w:jc w:val="center"/>
        <w:rPr>
          <w:rFonts w:hint="eastAsia" w:ascii="宋体" w:hAnsi="宋体" w:eastAsia="宋体" w:cs="宋体"/>
          <w:b/>
          <w:bCs/>
          <w:color w:val="auto"/>
          <w:sz w:val="44"/>
          <w:szCs w:val="44"/>
        </w:rPr>
      </w:pPr>
    </w:p>
    <w:p>
      <w:pPr>
        <w:spacing w:before="156" w:beforeLines="50" w:line="600" w:lineRule="exact"/>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江西兆驰半导体有限公司（氨水回收装置）</w:t>
      </w:r>
    </w:p>
    <w:p>
      <w:pPr>
        <w:spacing w:before="156" w:beforeLines="50" w:line="600" w:lineRule="exact"/>
        <w:jc w:val="center"/>
        <w:rPr>
          <w:rFonts w:hint="eastAsia" w:ascii="宋体" w:hAnsi="宋体" w:eastAsia="宋体" w:cs="宋体"/>
          <w:b/>
          <w:bCs/>
          <w:color w:val="auto"/>
          <w:sz w:val="48"/>
          <w:szCs w:val="48"/>
          <w:lang w:val="zh-CN"/>
        </w:rPr>
      </w:pPr>
      <w:r>
        <w:rPr>
          <w:rFonts w:hint="eastAsia" w:ascii="宋体" w:hAnsi="宋体" w:eastAsia="宋体" w:cs="宋体"/>
          <w:b/>
          <w:bCs/>
          <w:color w:val="auto"/>
          <w:sz w:val="48"/>
          <w:szCs w:val="48"/>
          <w:lang w:val="zh-CN"/>
        </w:rPr>
        <w:t>安全</w:t>
      </w:r>
      <w:r>
        <w:rPr>
          <w:rFonts w:hint="eastAsia" w:ascii="宋体" w:hAnsi="宋体" w:eastAsia="宋体" w:cs="宋体"/>
          <w:b/>
          <w:bCs/>
          <w:color w:val="auto"/>
          <w:sz w:val="48"/>
          <w:szCs w:val="48"/>
        </w:rPr>
        <w:t>现状</w:t>
      </w:r>
      <w:r>
        <w:rPr>
          <w:rFonts w:hint="eastAsia" w:ascii="宋体" w:hAnsi="宋体" w:eastAsia="宋体" w:cs="宋体"/>
          <w:b/>
          <w:bCs/>
          <w:color w:val="auto"/>
          <w:sz w:val="48"/>
          <w:szCs w:val="48"/>
          <w:lang w:val="zh-CN"/>
        </w:rPr>
        <w:t>评价报告</w:t>
      </w:r>
    </w:p>
    <w:p>
      <w:pPr>
        <w:jc w:val="center"/>
        <w:rPr>
          <w:rFonts w:hint="eastAsia" w:ascii="宋体" w:hAnsi="宋体" w:eastAsia="宋体" w:cs="宋体"/>
          <w:b/>
          <w:bCs/>
          <w:color w:val="auto"/>
          <w:sz w:val="40"/>
          <w:szCs w:val="28"/>
        </w:rPr>
      </w:pPr>
      <w:r>
        <w:rPr>
          <w:rFonts w:hint="eastAsia" w:ascii="宋体" w:hAnsi="宋体" w:eastAsia="宋体" w:cs="宋体"/>
          <w:b/>
          <w:bCs/>
          <w:color w:val="auto"/>
          <w:sz w:val="40"/>
          <w:szCs w:val="28"/>
        </w:rPr>
        <w:t>(</w:t>
      </w:r>
      <w:r>
        <w:rPr>
          <w:rFonts w:hint="eastAsia" w:ascii="宋体" w:hAnsi="宋体" w:eastAsia="宋体" w:cs="宋体"/>
          <w:b/>
          <w:bCs/>
          <w:color w:val="auto"/>
          <w:sz w:val="40"/>
          <w:szCs w:val="28"/>
          <w:lang w:eastAsia="zh-CN"/>
        </w:rPr>
        <w:t>终</w:t>
      </w:r>
      <w:r>
        <w:rPr>
          <w:rFonts w:hint="eastAsia" w:ascii="宋体" w:hAnsi="宋体" w:eastAsia="宋体" w:cs="宋体"/>
          <w:b/>
          <w:bCs/>
          <w:color w:val="auto"/>
          <w:sz w:val="40"/>
          <w:szCs w:val="28"/>
        </w:rPr>
        <w:t>稿)</w:t>
      </w:r>
    </w:p>
    <w:p>
      <w:pPr>
        <w:jc w:val="center"/>
        <w:rPr>
          <w:rFonts w:hint="eastAsia" w:ascii="宋体" w:hAnsi="宋体" w:eastAsia="宋体" w:cs="宋体"/>
          <w:color w:val="auto"/>
          <w:szCs w:val="21"/>
        </w:rPr>
      </w:pPr>
    </w:p>
    <w:p>
      <w:pPr>
        <w:pStyle w:val="35"/>
        <w:rPr>
          <w:rFonts w:hint="eastAsia" w:ascii="宋体" w:hAnsi="宋体" w:eastAsia="宋体" w:cs="宋体"/>
          <w:color w:val="auto"/>
        </w:rPr>
      </w:pPr>
    </w:p>
    <w:p>
      <w:pPr>
        <w:jc w:val="center"/>
        <w:rPr>
          <w:rFonts w:hint="eastAsia" w:ascii="宋体" w:hAnsi="宋体" w:eastAsia="宋体" w:cs="宋体"/>
          <w:color w:val="auto"/>
          <w:szCs w:val="21"/>
        </w:rPr>
      </w:pPr>
    </w:p>
    <w:p>
      <w:pPr>
        <w:jc w:val="center"/>
        <w:rPr>
          <w:rFonts w:hint="eastAsia" w:ascii="宋体" w:hAnsi="宋体" w:eastAsia="宋体" w:cs="宋体"/>
          <w:color w:val="auto"/>
          <w:szCs w:val="21"/>
        </w:rPr>
      </w:pPr>
    </w:p>
    <w:p>
      <w:pPr>
        <w:jc w:val="center"/>
        <w:rPr>
          <w:rFonts w:hint="eastAsia" w:ascii="宋体" w:hAnsi="宋体" w:eastAsia="宋体" w:cs="宋体"/>
          <w:color w:val="auto"/>
          <w:szCs w:val="21"/>
        </w:rPr>
      </w:pPr>
    </w:p>
    <w:p>
      <w:pPr>
        <w:jc w:val="center"/>
        <w:rPr>
          <w:rFonts w:hint="eastAsia" w:ascii="宋体" w:hAnsi="宋体" w:eastAsia="宋体" w:cs="宋体"/>
          <w:color w:val="auto"/>
          <w:szCs w:val="36"/>
        </w:rPr>
      </w:pPr>
    </w:p>
    <w:p>
      <w:pPr>
        <w:jc w:val="center"/>
        <w:rPr>
          <w:rFonts w:hint="eastAsia" w:ascii="宋体" w:hAnsi="宋体" w:eastAsia="宋体" w:cs="宋体"/>
          <w:color w:val="auto"/>
          <w:szCs w:val="36"/>
        </w:rPr>
      </w:pPr>
    </w:p>
    <w:p>
      <w:pPr>
        <w:jc w:val="center"/>
        <w:rPr>
          <w:rFonts w:hint="eastAsia" w:ascii="宋体" w:hAnsi="宋体" w:eastAsia="宋体" w:cs="宋体"/>
          <w:color w:val="auto"/>
          <w:szCs w:val="36"/>
        </w:rPr>
      </w:pPr>
    </w:p>
    <w:p>
      <w:pPr>
        <w:jc w:val="center"/>
        <w:rPr>
          <w:rFonts w:hint="eastAsia" w:ascii="宋体" w:hAnsi="宋体" w:eastAsia="宋体" w:cs="宋体"/>
          <w:color w:val="auto"/>
          <w:szCs w:val="36"/>
        </w:rPr>
      </w:pPr>
    </w:p>
    <w:p>
      <w:pPr>
        <w:ind w:firstLine="3080" w:firstLineChars="1100"/>
        <w:rPr>
          <w:rFonts w:hint="eastAsia" w:ascii="宋体" w:hAnsi="宋体" w:eastAsia="宋体" w:cs="宋体"/>
          <w:bCs/>
          <w:color w:val="auto"/>
          <w:kern w:val="0"/>
          <w:szCs w:val="28"/>
        </w:rPr>
      </w:pPr>
      <w:r>
        <w:rPr>
          <w:rFonts w:hint="eastAsia" w:ascii="宋体" w:hAnsi="宋体" w:eastAsia="宋体" w:cs="宋体"/>
          <w:bCs/>
          <w:color w:val="auto"/>
          <w:kern w:val="0"/>
          <w:szCs w:val="28"/>
        </w:rPr>
        <w:t>法定代表人：</w:t>
      </w:r>
      <w:r>
        <w:rPr>
          <w:rFonts w:hint="eastAsia" w:ascii="宋体" w:hAnsi="宋体" w:eastAsia="宋体" w:cs="宋体"/>
          <w:bCs/>
          <w:color w:val="auto"/>
          <w:kern w:val="0"/>
          <w:szCs w:val="28"/>
        </w:rPr>
        <w:t>应  宏</w:t>
      </w:r>
    </w:p>
    <w:p>
      <w:pPr>
        <w:ind w:firstLine="3080" w:firstLineChars="1100"/>
        <w:rPr>
          <w:rFonts w:hint="eastAsia" w:ascii="宋体" w:hAnsi="宋体" w:eastAsia="宋体" w:cs="宋体"/>
          <w:bCs/>
          <w:color w:val="auto"/>
          <w:kern w:val="0"/>
          <w:szCs w:val="28"/>
        </w:rPr>
      </w:pPr>
      <w:r>
        <w:rPr>
          <w:rFonts w:hint="eastAsia" w:ascii="宋体" w:hAnsi="宋体" w:eastAsia="宋体" w:cs="宋体"/>
          <w:bCs/>
          <w:color w:val="auto"/>
          <w:kern w:val="0"/>
          <w:szCs w:val="28"/>
        </w:rPr>
        <w:t>审核定稿人：</w:t>
      </w:r>
      <w:r>
        <w:rPr>
          <w:rFonts w:hint="eastAsia" w:ascii="宋体" w:hAnsi="宋体" w:eastAsia="宋体" w:cs="宋体"/>
          <w:bCs/>
          <w:color w:val="auto"/>
          <w:kern w:val="0"/>
          <w:szCs w:val="28"/>
        </w:rPr>
        <w:t>应  宏</w:t>
      </w:r>
    </w:p>
    <w:p>
      <w:pPr>
        <w:ind w:firstLine="3080" w:firstLineChars="1100"/>
        <w:rPr>
          <w:rFonts w:hint="eastAsia" w:ascii="宋体" w:hAnsi="宋体" w:eastAsia="宋体" w:cs="宋体"/>
          <w:bCs/>
          <w:color w:val="auto"/>
          <w:kern w:val="0"/>
          <w:szCs w:val="28"/>
        </w:rPr>
      </w:pPr>
      <w:r>
        <w:rPr>
          <w:rFonts w:hint="eastAsia" w:ascii="宋体" w:hAnsi="宋体" w:eastAsia="宋体" w:cs="宋体"/>
          <w:bCs/>
          <w:color w:val="auto"/>
          <w:kern w:val="0"/>
          <w:szCs w:val="28"/>
        </w:rPr>
        <w:t>项目负责人：</w:t>
      </w:r>
      <w:r>
        <w:rPr>
          <w:rFonts w:hint="eastAsia" w:ascii="宋体" w:hAnsi="宋体" w:eastAsia="宋体" w:cs="宋体"/>
          <w:bCs/>
          <w:color w:val="auto"/>
          <w:kern w:val="0"/>
          <w:szCs w:val="28"/>
        </w:rPr>
        <w:t>邱国强</w:t>
      </w:r>
    </w:p>
    <w:p>
      <w:pPr>
        <w:jc w:val="center"/>
        <w:rPr>
          <w:rFonts w:hint="eastAsia" w:ascii="宋体" w:hAnsi="宋体" w:eastAsia="宋体" w:cs="宋体"/>
          <w:color w:val="auto"/>
          <w:szCs w:val="21"/>
          <w:lang w:val="zh-CN"/>
        </w:rPr>
      </w:pPr>
    </w:p>
    <w:p>
      <w:pPr>
        <w:widowControl/>
        <w:jc w:val="center"/>
        <w:rPr>
          <w:rFonts w:hint="eastAsia" w:ascii="宋体" w:hAnsi="宋体" w:eastAsia="宋体" w:cs="宋体"/>
          <w:color w:val="auto"/>
          <w:sz w:val="44"/>
          <w:szCs w:val="44"/>
        </w:rPr>
        <w:sectPr>
          <w:headerReference r:id="rId7" w:type="default"/>
          <w:footerReference r:id="rId8" w:type="default"/>
          <w:pgSz w:w="11906" w:h="16838"/>
          <w:pgMar w:top="1417" w:right="1417" w:bottom="1417" w:left="1417" w:header="851" w:footer="992" w:gutter="0"/>
          <w:pgNumType w:fmt="upperRoman" w:start="1"/>
          <w:cols w:space="720" w:num="1"/>
          <w:docGrid w:type="lines" w:linePitch="312" w:charSpace="0"/>
        </w:sectPr>
      </w:pPr>
      <w:r>
        <w:rPr>
          <w:rFonts w:hint="eastAsia" w:ascii="宋体" w:hAnsi="宋体" w:eastAsia="宋体" w:cs="宋体"/>
          <w:b/>
          <w:bCs/>
          <w:color w:val="auto"/>
          <w:kern w:val="0"/>
          <w:sz w:val="30"/>
          <w:szCs w:val="30"/>
        </w:rPr>
        <w:t>报告完成日期：2022年</w:t>
      </w:r>
      <w:r>
        <w:rPr>
          <w:rFonts w:hint="eastAsia" w:ascii="宋体" w:hAnsi="宋体" w:eastAsia="宋体" w:cs="宋体"/>
          <w:b/>
          <w:bCs/>
          <w:color w:val="auto"/>
          <w:kern w:val="0"/>
          <w:sz w:val="30"/>
          <w:szCs w:val="30"/>
          <w:lang w:val="en-US" w:eastAsia="zh-CN"/>
        </w:rPr>
        <w:t>4</w:t>
      </w:r>
      <w:r>
        <w:rPr>
          <w:rFonts w:hint="eastAsia" w:ascii="宋体" w:hAnsi="宋体" w:eastAsia="宋体" w:cs="宋体"/>
          <w:b/>
          <w:bCs/>
          <w:color w:val="auto"/>
          <w:kern w:val="0"/>
          <w:sz w:val="30"/>
          <w:szCs w:val="30"/>
        </w:rPr>
        <w:t>月</w:t>
      </w:r>
      <w:r>
        <w:rPr>
          <w:rFonts w:hint="eastAsia" w:ascii="宋体" w:hAnsi="宋体" w:eastAsia="宋体" w:cs="宋体"/>
          <w:b/>
          <w:bCs/>
          <w:color w:val="auto"/>
          <w:kern w:val="0"/>
          <w:sz w:val="30"/>
          <w:szCs w:val="30"/>
          <w:lang w:val="en-US" w:eastAsia="zh-CN"/>
        </w:rPr>
        <w:t>21</w:t>
      </w:r>
      <w:r>
        <w:rPr>
          <w:rFonts w:hint="eastAsia" w:ascii="宋体" w:hAnsi="宋体" w:eastAsia="宋体" w:cs="宋体"/>
          <w:b/>
          <w:bCs/>
          <w:color w:val="auto"/>
          <w:kern w:val="0"/>
          <w:sz w:val="30"/>
          <w:szCs w:val="30"/>
        </w:rPr>
        <w:t>日</w:t>
      </w:r>
    </w:p>
    <w:p>
      <w:pPr>
        <w:widowControl/>
        <w:spacing w:line="600"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安全评价技术服务承诺书</w:t>
      </w:r>
    </w:p>
    <w:p>
      <w:pPr>
        <w:spacing w:line="600" w:lineRule="exact"/>
        <w:ind w:firstLine="560" w:firstLineChars="200"/>
        <w:jc w:val="left"/>
        <w:rPr>
          <w:rFonts w:hint="eastAsia" w:ascii="宋体" w:hAnsi="宋体" w:eastAsia="宋体" w:cs="宋体"/>
          <w:color w:val="auto"/>
          <w:kern w:val="0"/>
          <w:szCs w:val="28"/>
        </w:rPr>
      </w:pPr>
      <w:r>
        <w:rPr>
          <w:rFonts w:hint="eastAsia" w:ascii="宋体" w:hAnsi="宋体" w:eastAsia="宋体" w:cs="宋体"/>
          <w:color w:val="auto"/>
          <w:kern w:val="0"/>
          <w:szCs w:val="28"/>
        </w:rPr>
        <w:t xml:space="preserve">一、在本项目安全评价活动过程中，我单位严格遵守《安全生产法》及相关法律、法规和标准的要求。   </w:t>
      </w:r>
    </w:p>
    <w:p>
      <w:pPr>
        <w:spacing w:line="600" w:lineRule="exact"/>
        <w:ind w:firstLine="560" w:firstLineChars="200"/>
        <w:jc w:val="left"/>
        <w:rPr>
          <w:rFonts w:hint="eastAsia" w:ascii="宋体" w:hAnsi="宋体" w:eastAsia="宋体" w:cs="宋体"/>
          <w:color w:val="auto"/>
          <w:kern w:val="0"/>
          <w:szCs w:val="28"/>
        </w:rPr>
      </w:pPr>
      <w:r>
        <w:rPr>
          <w:rFonts w:hint="eastAsia" w:ascii="宋体" w:hAnsi="宋体" w:eastAsia="宋体" w:cs="宋体"/>
          <w:color w:val="auto"/>
          <w:kern w:val="0"/>
          <w:szCs w:val="28"/>
        </w:rPr>
        <w:t>二、在本项目安全评价活动过程中，我单位作为第三方，未受到任何组织和个人的干预和影响，依法独立开展工作，保证了技术服务活动的客观公正性。</w:t>
      </w:r>
    </w:p>
    <w:p>
      <w:pPr>
        <w:spacing w:line="600" w:lineRule="exact"/>
        <w:ind w:firstLine="560" w:firstLineChars="200"/>
        <w:jc w:val="left"/>
        <w:rPr>
          <w:rFonts w:hint="eastAsia" w:ascii="宋体" w:hAnsi="宋体" w:eastAsia="宋体" w:cs="宋体"/>
          <w:color w:val="auto"/>
          <w:kern w:val="0"/>
          <w:szCs w:val="28"/>
        </w:rPr>
      </w:pPr>
      <w:r>
        <w:rPr>
          <w:rFonts w:hint="eastAsia" w:ascii="宋体" w:hAnsi="宋体" w:eastAsia="宋体" w:cs="宋体"/>
          <w:color w:val="auto"/>
          <w:kern w:val="0"/>
          <w:szCs w:val="28"/>
        </w:rPr>
        <w:t>三、我单位按照实事求是的原则，对本项目进行安全评价，确保出具的报告均真实有效，报告所提出的措施具有针对性、有效性和可行性。</w:t>
      </w:r>
    </w:p>
    <w:p>
      <w:pPr>
        <w:spacing w:line="600" w:lineRule="exact"/>
        <w:ind w:firstLine="560" w:firstLineChars="200"/>
        <w:jc w:val="left"/>
        <w:rPr>
          <w:rFonts w:hint="eastAsia" w:ascii="宋体" w:hAnsi="宋体" w:eastAsia="宋体" w:cs="宋体"/>
          <w:color w:val="auto"/>
          <w:kern w:val="0"/>
          <w:szCs w:val="28"/>
        </w:rPr>
      </w:pPr>
      <w:r>
        <w:rPr>
          <w:rFonts w:hint="eastAsia" w:ascii="宋体" w:hAnsi="宋体" w:eastAsia="宋体" w:cs="宋体"/>
          <w:color w:val="auto"/>
          <w:kern w:val="0"/>
          <w:szCs w:val="28"/>
        </w:rPr>
        <w:t xml:space="preserve">四、我单位对本项目安全评价报告中结论性内容承担法律责任。 </w:t>
      </w:r>
    </w:p>
    <w:p>
      <w:pPr>
        <w:widowControl/>
        <w:wordWrap w:val="0"/>
        <w:spacing w:line="600" w:lineRule="exact"/>
        <w:ind w:firstLine="480"/>
        <w:jc w:val="left"/>
        <w:rPr>
          <w:rFonts w:hint="eastAsia" w:ascii="宋体" w:hAnsi="宋体" w:eastAsia="宋体" w:cs="宋体"/>
          <w:color w:val="auto"/>
          <w:kern w:val="0"/>
          <w:szCs w:val="28"/>
        </w:rPr>
      </w:pPr>
      <w:r>
        <w:rPr>
          <w:rFonts w:hint="eastAsia" w:ascii="宋体" w:hAnsi="宋体" w:eastAsia="宋体" w:cs="宋体"/>
          <w:color w:val="auto"/>
          <w:kern w:val="0"/>
          <w:szCs w:val="28"/>
        </w:rPr>
        <w:t xml:space="preserve">                      </w:t>
      </w:r>
    </w:p>
    <w:p>
      <w:pPr>
        <w:widowControl/>
        <w:wordWrap w:val="0"/>
        <w:spacing w:line="600" w:lineRule="exact"/>
        <w:jc w:val="left"/>
        <w:rPr>
          <w:rFonts w:hint="eastAsia" w:ascii="宋体" w:hAnsi="宋体" w:eastAsia="宋体" w:cs="宋体"/>
          <w:color w:val="auto"/>
          <w:szCs w:val="28"/>
        </w:rPr>
      </w:pPr>
    </w:p>
    <w:p>
      <w:pPr>
        <w:widowControl/>
        <w:wordWrap w:val="0"/>
        <w:spacing w:line="600" w:lineRule="exact"/>
        <w:ind w:firstLine="480"/>
        <w:jc w:val="right"/>
        <w:rPr>
          <w:rFonts w:hint="eastAsia" w:ascii="宋体" w:hAnsi="宋体" w:eastAsia="宋体" w:cs="宋体"/>
          <w:color w:val="auto"/>
          <w:szCs w:val="28"/>
        </w:rPr>
      </w:pPr>
      <w:r>
        <w:rPr>
          <w:rFonts w:hint="eastAsia" w:ascii="宋体" w:hAnsi="宋体" w:eastAsia="宋体" w:cs="宋体"/>
          <w:color w:val="auto"/>
          <w:szCs w:val="28"/>
        </w:rPr>
        <w:t xml:space="preserve">      </w:t>
      </w:r>
    </w:p>
    <w:p>
      <w:pPr>
        <w:widowControl/>
        <w:wordWrap w:val="0"/>
        <w:spacing w:line="600" w:lineRule="exact"/>
        <w:ind w:firstLine="480"/>
        <w:jc w:val="right"/>
        <w:rPr>
          <w:rFonts w:hint="eastAsia" w:ascii="宋体" w:hAnsi="宋体" w:eastAsia="宋体" w:cs="宋体"/>
          <w:color w:val="auto"/>
          <w:szCs w:val="28"/>
        </w:rPr>
      </w:pPr>
    </w:p>
    <w:p>
      <w:pPr>
        <w:pStyle w:val="25"/>
        <w:spacing w:before="0" w:after="0" w:afterAutospacing="0" w:line="600" w:lineRule="exact"/>
        <w:jc w:val="right"/>
        <w:outlineLvl w:val="9"/>
        <w:rPr>
          <w:rFonts w:hint="eastAsia" w:ascii="宋体" w:hAnsi="宋体" w:eastAsia="宋体" w:cs="宋体"/>
          <w:color w:val="auto"/>
          <w:sz w:val="28"/>
          <w:szCs w:val="28"/>
        </w:rPr>
      </w:pPr>
      <w:bookmarkStart w:id="0" w:name="_Toc20118"/>
      <w:bookmarkStart w:id="1" w:name="_Toc22788"/>
      <w:bookmarkStart w:id="2" w:name="_Toc16566"/>
      <w:bookmarkStart w:id="3" w:name="_Toc29241"/>
      <w:r>
        <w:rPr>
          <w:rFonts w:hint="eastAsia" w:ascii="宋体" w:hAnsi="宋体" w:eastAsia="宋体" w:cs="宋体"/>
          <w:b w:val="0"/>
          <w:bCs w:val="0"/>
          <w:color w:val="auto"/>
          <w:sz w:val="28"/>
          <w:szCs w:val="28"/>
        </w:rPr>
        <w:t xml:space="preserve">江西赣昌安全生产科技服务有限公司 </w:t>
      </w:r>
      <w:r>
        <w:rPr>
          <w:rFonts w:hint="eastAsia" w:ascii="宋体" w:hAnsi="宋体" w:eastAsia="宋体" w:cs="宋体"/>
          <w:color w:val="auto"/>
          <w:sz w:val="28"/>
          <w:szCs w:val="28"/>
        </w:rPr>
        <w:t xml:space="preserve">                          </w:t>
      </w:r>
      <w:r>
        <w:rPr>
          <w:rFonts w:hint="eastAsia" w:ascii="宋体" w:hAnsi="宋体" w:eastAsia="宋体" w:cs="宋体"/>
          <w:b w:val="0"/>
          <w:bCs w:val="0"/>
          <w:color w:val="auto"/>
          <w:sz w:val="28"/>
          <w:szCs w:val="28"/>
        </w:rPr>
        <w:t xml:space="preserve">   </w:t>
      </w:r>
      <w:bookmarkStart w:id="4" w:name="_Toc31985"/>
      <w:bookmarkStart w:id="5" w:name="_Toc1843"/>
      <w:r>
        <w:rPr>
          <w:rFonts w:hint="eastAsia" w:ascii="宋体" w:hAnsi="宋体" w:eastAsia="宋体" w:cs="宋体"/>
          <w:b w:val="0"/>
          <w:bCs w:val="0"/>
          <w:color w:val="auto"/>
          <w:sz w:val="28"/>
          <w:szCs w:val="28"/>
        </w:rPr>
        <w:t>2022年</w:t>
      </w:r>
      <w:r>
        <w:rPr>
          <w:rFonts w:hint="eastAsia" w:ascii="宋体" w:hAnsi="宋体" w:eastAsia="宋体" w:cs="宋体"/>
          <w:b w:val="0"/>
          <w:bCs w:val="0"/>
          <w:color w:val="auto"/>
          <w:sz w:val="28"/>
          <w:szCs w:val="28"/>
          <w:lang w:val="en-US" w:eastAsia="zh-CN"/>
        </w:rPr>
        <w:t>4</w:t>
      </w:r>
      <w:r>
        <w:rPr>
          <w:rFonts w:hint="eastAsia" w:ascii="宋体" w:hAnsi="宋体" w:eastAsia="宋体" w:cs="宋体"/>
          <w:b w:val="0"/>
          <w:bCs w:val="0"/>
          <w:color w:val="auto"/>
          <w:sz w:val="28"/>
          <w:szCs w:val="28"/>
        </w:rPr>
        <w:t>月</w:t>
      </w:r>
      <w:r>
        <w:rPr>
          <w:rFonts w:hint="eastAsia" w:ascii="宋体" w:hAnsi="宋体" w:eastAsia="宋体" w:cs="宋体"/>
          <w:b w:val="0"/>
          <w:bCs w:val="0"/>
          <w:color w:val="auto"/>
          <w:sz w:val="28"/>
          <w:szCs w:val="28"/>
          <w:lang w:val="en-US" w:eastAsia="zh-CN"/>
        </w:rPr>
        <w:t>21</w:t>
      </w:r>
      <w:r>
        <w:rPr>
          <w:rFonts w:hint="eastAsia" w:ascii="宋体" w:hAnsi="宋体" w:eastAsia="宋体" w:cs="宋体"/>
          <w:b w:val="0"/>
          <w:bCs w:val="0"/>
          <w:color w:val="auto"/>
          <w:sz w:val="28"/>
          <w:szCs w:val="28"/>
        </w:rPr>
        <w:t>日</w:t>
      </w:r>
      <w:bookmarkEnd w:id="0"/>
      <w:bookmarkEnd w:id="1"/>
      <w:bookmarkEnd w:id="2"/>
      <w:bookmarkEnd w:id="3"/>
      <w:bookmarkEnd w:id="4"/>
      <w:bookmarkEnd w:id="5"/>
    </w:p>
    <w:p>
      <w:pPr>
        <w:jc w:val="center"/>
        <w:rPr>
          <w:rFonts w:hint="eastAsia" w:ascii="宋体" w:hAnsi="宋体" w:eastAsia="宋体" w:cs="宋体"/>
          <w:b/>
          <w:color w:val="auto"/>
          <w:sz w:val="32"/>
          <w:szCs w:val="32"/>
        </w:rPr>
      </w:pPr>
      <w:r>
        <w:rPr>
          <w:rFonts w:hint="eastAsia" w:ascii="宋体" w:hAnsi="宋体" w:eastAsia="宋体" w:cs="宋体"/>
          <w:color w:val="auto"/>
        </w:rPr>
        <w:br w:type="page"/>
      </w:r>
      <w:r>
        <w:rPr>
          <w:rFonts w:hint="eastAsia" w:ascii="宋体" w:hAnsi="宋体" w:eastAsia="宋体" w:cs="宋体"/>
          <w:b/>
          <w:color w:val="auto"/>
          <w:sz w:val="32"/>
          <w:szCs w:val="32"/>
        </w:rPr>
        <w:t>规范安全生产中介行为的九条禁令</w:t>
      </w:r>
    </w:p>
    <w:p>
      <w:pPr>
        <w:spacing w:line="600" w:lineRule="exact"/>
        <w:ind w:firstLine="560" w:firstLineChars="200"/>
        <w:jc w:val="left"/>
        <w:rPr>
          <w:rFonts w:hint="eastAsia" w:ascii="宋体" w:hAnsi="宋体" w:eastAsia="宋体" w:cs="宋体"/>
          <w:color w:val="auto"/>
          <w:w w:val="90"/>
          <w:kern w:val="0"/>
          <w:szCs w:val="28"/>
        </w:rPr>
      </w:pPr>
      <w:r>
        <w:rPr>
          <w:rFonts w:hint="eastAsia" w:ascii="宋体" w:hAnsi="宋体" w:eastAsia="宋体" w:cs="宋体"/>
          <w:color w:val="auto"/>
          <w:szCs w:val="28"/>
        </w:rPr>
        <w:t> </w:t>
      </w:r>
      <w:r>
        <w:rPr>
          <w:rFonts w:hint="eastAsia" w:ascii="宋体" w:hAnsi="宋体" w:eastAsia="宋体" w:cs="宋体"/>
          <w:color w:val="auto"/>
          <w:w w:val="90"/>
          <w:kern w:val="0"/>
          <w:szCs w:val="28"/>
        </w:rPr>
        <w:t xml:space="preserve">一、禁止从事安全生产和职业卫生服务的中介服务机构（以下统称中介机构）租借资质证书、非法挂靠、转包服务项目的行为； </w:t>
      </w:r>
    </w:p>
    <w:p>
      <w:pPr>
        <w:spacing w:line="600" w:lineRule="exact"/>
        <w:ind w:firstLine="504" w:firstLineChars="200"/>
        <w:jc w:val="left"/>
        <w:rPr>
          <w:rFonts w:hint="eastAsia" w:ascii="宋体" w:hAnsi="宋体" w:eastAsia="宋体" w:cs="宋体"/>
          <w:color w:val="auto"/>
          <w:w w:val="90"/>
          <w:kern w:val="0"/>
          <w:szCs w:val="28"/>
        </w:rPr>
      </w:pPr>
      <w:r>
        <w:rPr>
          <w:rFonts w:hint="eastAsia" w:ascii="宋体" w:hAnsi="宋体" w:eastAsia="宋体" w:cs="宋体"/>
          <w:color w:val="auto"/>
          <w:w w:val="90"/>
          <w:kern w:val="0"/>
          <w:szCs w:val="28"/>
        </w:rPr>
        <w:t xml:space="preserve">二、禁止中介机构假借、冒用他人名义要求服务对象接受有偿服务，或者恶意低价竞争以及采取串标、围标等不正当竞争手段，扰乱技术服务市场秩序的行为； </w:t>
      </w:r>
    </w:p>
    <w:p>
      <w:pPr>
        <w:spacing w:line="600" w:lineRule="exact"/>
        <w:ind w:firstLine="504" w:firstLineChars="200"/>
        <w:jc w:val="left"/>
        <w:rPr>
          <w:rFonts w:hint="eastAsia" w:ascii="宋体" w:hAnsi="宋体" w:eastAsia="宋体" w:cs="宋体"/>
          <w:color w:val="auto"/>
          <w:w w:val="90"/>
          <w:kern w:val="0"/>
          <w:szCs w:val="28"/>
        </w:rPr>
      </w:pPr>
      <w:r>
        <w:rPr>
          <w:rFonts w:hint="eastAsia" w:ascii="宋体" w:hAnsi="宋体" w:eastAsia="宋体" w:cs="宋体"/>
          <w:color w:val="auto"/>
          <w:w w:val="90"/>
          <w:kern w:val="0"/>
          <w:szCs w:val="28"/>
        </w:rPr>
        <w:t xml:space="preserve">三、禁止中介机构出具虚假或漏项、缺项技术报告的行为； </w:t>
      </w:r>
    </w:p>
    <w:p>
      <w:pPr>
        <w:spacing w:line="600" w:lineRule="exact"/>
        <w:ind w:firstLine="504" w:firstLineChars="200"/>
        <w:jc w:val="left"/>
        <w:rPr>
          <w:rFonts w:hint="eastAsia" w:ascii="宋体" w:hAnsi="宋体" w:eastAsia="宋体" w:cs="宋体"/>
          <w:color w:val="auto"/>
          <w:w w:val="90"/>
          <w:kern w:val="0"/>
          <w:szCs w:val="28"/>
        </w:rPr>
      </w:pPr>
      <w:r>
        <w:rPr>
          <w:rFonts w:hint="eastAsia" w:ascii="宋体" w:hAnsi="宋体" w:eastAsia="宋体" w:cs="宋体"/>
          <w:color w:val="auto"/>
          <w:w w:val="90"/>
          <w:kern w:val="0"/>
          <w:szCs w:val="28"/>
        </w:rPr>
        <w:t xml:space="preserve">四、禁止中介机构出租、出借资格证书、在报告上冒用他人签名的行为； </w:t>
      </w:r>
    </w:p>
    <w:p>
      <w:pPr>
        <w:spacing w:line="600" w:lineRule="exact"/>
        <w:ind w:firstLine="504" w:firstLineChars="200"/>
        <w:jc w:val="left"/>
        <w:rPr>
          <w:rFonts w:hint="eastAsia" w:ascii="宋体" w:hAnsi="宋体" w:eastAsia="宋体" w:cs="宋体"/>
          <w:color w:val="auto"/>
          <w:w w:val="90"/>
          <w:kern w:val="0"/>
          <w:szCs w:val="28"/>
        </w:rPr>
      </w:pPr>
      <w:r>
        <w:rPr>
          <w:rFonts w:hint="eastAsia" w:ascii="宋体" w:hAnsi="宋体" w:eastAsia="宋体" w:cs="宋体"/>
          <w:color w:val="auto"/>
          <w:w w:val="90"/>
          <w:kern w:val="0"/>
          <w:szCs w:val="28"/>
        </w:rPr>
        <w:t xml:space="preserve">五、禁止中介机构有应到而不到现场开展技术服务的行为； </w:t>
      </w:r>
    </w:p>
    <w:p>
      <w:pPr>
        <w:spacing w:line="600" w:lineRule="exact"/>
        <w:ind w:firstLine="504" w:firstLineChars="200"/>
        <w:jc w:val="left"/>
        <w:rPr>
          <w:rFonts w:hint="eastAsia" w:ascii="宋体" w:hAnsi="宋体" w:eastAsia="宋体" w:cs="宋体"/>
          <w:color w:val="auto"/>
          <w:w w:val="90"/>
          <w:kern w:val="0"/>
          <w:szCs w:val="28"/>
        </w:rPr>
      </w:pPr>
      <w:r>
        <w:rPr>
          <w:rFonts w:hint="eastAsia" w:ascii="宋体" w:hAnsi="宋体" w:eastAsia="宋体" w:cs="宋体"/>
          <w:color w:val="auto"/>
          <w:w w:val="90"/>
          <w:kern w:val="0"/>
          <w:szCs w:val="28"/>
        </w:rPr>
        <w:t xml:space="preserve">六、禁止安全生产监管部门及其工作人员要求生产经营单位接受指定的中介机构开展技术服务的行为； </w:t>
      </w:r>
    </w:p>
    <w:p>
      <w:pPr>
        <w:spacing w:line="600" w:lineRule="exact"/>
        <w:ind w:firstLine="504" w:firstLineChars="200"/>
        <w:jc w:val="left"/>
        <w:rPr>
          <w:rFonts w:hint="eastAsia" w:ascii="宋体" w:hAnsi="宋体" w:eastAsia="宋体" w:cs="宋体"/>
          <w:color w:val="auto"/>
          <w:w w:val="90"/>
          <w:kern w:val="0"/>
          <w:szCs w:val="28"/>
        </w:rPr>
      </w:pPr>
      <w:r>
        <w:rPr>
          <w:rFonts w:hint="eastAsia" w:ascii="宋体" w:hAnsi="宋体" w:eastAsia="宋体" w:cs="宋体"/>
          <w:color w:val="auto"/>
          <w:w w:val="90"/>
          <w:kern w:val="0"/>
          <w:szCs w:val="28"/>
        </w:rPr>
        <w:t xml:space="preserve">七、禁止安全生产监管部门及其工作人员没有法律依据组织由生产经营单位或机构支付费用的行政性评审的行为； </w:t>
      </w:r>
    </w:p>
    <w:p>
      <w:pPr>
        <w:spacing w:line="600" w:lineRule="exact"/>
        <w:ind w:firstLine="504" w:firstLineChars="200"/>
        <w:jc w:val="left"/>
        <w:rPr>
          <w:rFonts w:hint="eastAsia" w:ascii="宋体" w:hAnsi="宋体" w:eastAsia="宋体" w:cs="宋体"/>
          <w:color w:val="auto"/>
          <w:w w:val="90"/>
          <w:kern w:val="0"/>
          <w:szCs w:val="28"/>
        </w:rPr>
      </w:pPr>
      <w:r>
        <w:rPr>
          <w:rFonts w:hint="eastAsia" w:ascii="宋体" w:hAnsi="宋体" w:eastAsia="宋体" w:cs="宋体"/>
          <w:color w:val="auto"/>
          <w:w w:val="90"/>
          <w:kern w:val="0"/>
          <w:szCs w:val="28"/>
        </w:rPr>
        <w:t xml:space="preserve">八、禁止安全生产监管部门及其工作人员干预市场定价，违规擅自出台技术服务收费标准的行为； </w:t>
      </w:r>
    </w:p>
    <w:p>
      <w:pPr>
        <w:spacing w:line="600" w:lineRule="exact"/>
        <w:ind w:firstLine="504" w:firstLineChars="200"/>
        <w:jc w:val="left"/>
        <w:rPr>
          <w:rFonts w:hint="eastAsia" w:ascii="宋体" w:hAnsi="宋体" w:eastAsia="宋体" w:cs="宋体"/>
          <w:color w:val="auto"/>
          <w:w w:val="90"/>
          <w:kern w:val="0"/>
          <w:szCs w:val="28"/>
        </w:rPr>
      </w:pPr>
      <w:r>
        <w:rPr>
          <w:rFonts w:hint="eastAsia" w:ascii="宋体" w:hAnsi="宋体" w:eastAsia="宋体" w:cs="宋体"/>
          <w:color w:val="auto"/>
          <w:w w:val="90"/>
          <w:kern w:val="0"/>
          <w:szCs w:val="28"/>
        </w:rPr>
        <w:t>九、禁止安全生产监管部门及其工作人员参与、擅自干预中介机构从业活动，或者有获取不正当利益的行为。</w:t>
      </w:r>
    </w:p>
    <w:p>
      <w:pPr>
        <w:jc w:val="center"/>
        <w:rPr>
          <w:rFonts w:hint="eastAsia" w:ascii="宋体" w:hAnsi="宋体" w:eastAsia="宋体" w:cs="宋体"/>
          <w:color w:val="auto"/>
        </w:rPr>
      </w:pPr>
      <w:r>
        <w:rPr>
          <w:rFonts w:hint="eastAsia" w:ascii="宋体" w:hAnsi="宋体" w:eastAsia="宋体" w:cs="宋体"/>
          <w:color w:val="auto"/>
        </w:rPr>
        <w:br w:type="page"/>
      </w:r>
    </w:p>
    <w:p>
      <w:pPr>
        <w:jc w:val="center"/>
        <w:rPr>
          <w:rFonts w:hint="eastAsia" w:ascii="宋体" w:hAnsi="宋体" w:eastAsia="宋体" w:cs="宋体"/>
          <w:b/>
          <w:color w:val="auto"/>
          <w:sz w:val="32"/>
          <w:szCs w:val="32"/>
        </w:rPr>
      </w:pPr>
    </w:p>
    <w:p>
      <w:pPr>
        <w:jc w:val="center"/>
        <w:rPr>
          <w:rFonts w:hint="eastAsia" w:ascii="宋体" w:hAnsi="宋体" w:eastAsia="宋体" w:cs="宋体"/>
          <w:b/>
          <w:color w:val="auto"/>
          <w:sz w:val="32"/>
          <w:szCs w:val="32"/>
        </w:rPr>
      </w:pPr>
    </w:p>
    <w:p>
      <w:pPr>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评  价  人  员</w:t>
      </w:r>
    </w:p>
    <w:p>
      <w:pPr>
        <w:pStyle w:val="2"/>
        <w:rPr>
          <w:rFonts w:hint="eastAsia" w:ascii="宋体" w:hAnsi="宋体" w:eastAsia="宋体" w:cs="宋体"/>
          <w:color w:val="auto"/>
        </w:rPr>
      </w:pPr>
    </w:p>
    <w:tbl>
      <w:tblPr>
        <w:tblStyle w:val="28"/>
        <w:tblW w:w="9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143"/>
        <w:gridCol w:w="2990"/>
        <w:gridCol w:w="1854"/>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919"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rPr>
            </w:pPr>
          </w:p>
        </w:tc>
        <w:tc>
          <w:tcPr>
            <w:tcW w:w="1143"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姓 名</w:t>
            </w:r>
          </w:p>
        </w:tc>
        <w:tc>
          <w:tcPr>
            <w:tcW w:w="2990"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资格证书号</w:t>
            </w:r>
          </w:p>
        </w:tc>
        <w:tc>
          <w:tcPr>
            <w:tcW w:w="1854"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从业登记编号</w:t>
            </w:r>
          </w:p>
        </w:tc>
        <w:tc>
          <w:tcPr>
            <w:tcW w:w="1412"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919"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项目负责人</w:t>
            </w:r>
          </w:p>
        </w:tc>
        <w:tc>
          <w:tcPr>
            <w:tcW w:w="114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邱国强</w:t>
            </w:r>
          </w:p>
        </w:tc>
        <w:tc>
          <w:tcPr>
            <w:tcW w:w="2990"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S011035000110201000597</w:t>
            </w:r>
          </w:p>
        </w:tc>
        <w:tc>
          <w:tcPr>
            <w:tcW w:w="1854"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022186</w:t>
            </w:r>
          </w:p>
        </w:tc>
        <w:tc>
          <w:tcPr>
            <w:tcW w:w="1412"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1919"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项目组成员</w:t>
            </w:r>
          </w:p>
        </w:tc>
        <w:tc>
          <w:tcPr>
            <w:tcW w:w="114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邱国强</w:t>
            </w:r>
          </w:p>
        </w:tc>
        <w:tc>
          <w:tcPr>
            <w:tcW w:w="2990"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S011035000110201000597</w:t>
            </w:r>
          </w:p>
        </w:tc>
        <w:tc>
          <w:tcPr>
            <w:tcW w:w="1854"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022186</w:t>
            </w:r>
          </w:p>
        </w:tc>
        <w:tc>
          <w:tcPr>
            <w:tcW w:w="1412"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191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p>
        </w:tc>
        <w:tc>
          <w:tcPr>
            <w:tcW w:w="114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占兴旺</w:t>
            </w:r>
          </w:p>
        </w:tc>
        <w:tc>
          <w:tcPr>
            <w:tcW w:w="2990"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S011035000110202001332</w:t>
            </w:r>
          </w:p>
        </w:tc>
        <w:tc>
          <w:tcPr>
            <w:tcW w:w="1854"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029716</w:t>
            </w:r>
          </w:p>
        </w:tc>
        <w:tc>
          <w:tcPr>
            <w:tcW w:w="1412"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191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p>
        </w:tc>
        <w:tc>
          <w:tcPr>
            <w:tcW w:w="114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徐志平</w:t>
            </w:r>
          </w:p>
        </w:tc>
        <w:tc>
          <w:tcPr>
            <w:tcW w:w="2990"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S011032000110203000975</w:t>
            </w:r>
          </w:p>
        </w:tc>
        <w:tc>
          <w:tcPr>
            <w:tcW w:w="1854"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040952</w:t>
            </w:r>
          </w:p>
        </w:tc>
        <w:tc>
          <w:tcPr>
            <w:tcW w:w="1412"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919"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报告编制人</w:t>
            </w:r>
          </w:p>
        </w:tc>
        <w:tc>
          <w:tcPr>
            <w:tcW w:w="114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邱国强</w:t>
            </w:r>
          </w:p>
        </w:tc>
        <w:tc>
          <w:tcPr>
            <w:tcW w:w="2990"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S011035000110201000597</w:t>
            </w:r>
          </w:p>
        </w:tc>
        <w:tc>
          <w:tcPr>
            <w:tcW w:w="1854"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022186</w:t>
            </w:r>
          </w:p>
        </w:tc>
        <w:tc>
          <w:tcPr>
            <w:tcW w:w="1412"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1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p>
        </w:tc>
        <w:tc>
          <w:tcPr>
            <w:tcW w:w="114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占兴旺</w:t>
            </w:r>
          </w:p>
        </w:tc>
        <w:tc>
          <w:tcPr>
            <w:tcW w:w="2990"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S011035000110202001332</w:t>
            </w:r>
          </w:p>
        </w:tc>
        <w:tc>
          <w:tcPr>
            <w:tcW w:w="1854"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029716</w:t>
            </w:r>
          </w:p>
        </w:tc>
        <w:tc>
          <w:tcPr>
            <w:tcW w:w="1412"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19"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报告审核人</w:t>
            </w:r>
          </w:p>
        </w:tc>
        <w:tc>
          <w:tcPr>
            <w:tcW w:w="1143" w:type="dxa"/>
            <w:noWrap w:val="0"/>
            <w:vAlign w:val="center"/>
          </w:tcPr>
          <w:p>
            <w:pPr>
              <w:keepNext w:val="0"/>
              <w:keepLines w:val="0"/>
              <w:pageBreakBefore w:val="0"/>
              <w:widowControl w:val="0"/>
              <w:kinsoku/>
              <w:wordWrap/>
              <w:overflowPunct/>
              <w:topLinePunct w:val="0"/>
              <w:bidi w:val="0"/>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王东平</w:t>
            </w:r>
          </w:p>
        </w:tc>
        <w:tc>
          <w:tcPr>
            <w:tcW w:w="2990" w:type="dxa"/>
            <w:noWrap w:val="0"/>
            <w:vAlign w:val="top"/>
          </w:tcPr>
          <w:p>
            <w:pPr>
              <w:keepNext w:val="0"/>
              <w:keepLines w:val="0"/>
              <w:pageBreakBefore w:val="0"/>
              <w:widowControl w:val="0"/>
              <w:kinsoku/>
              <w:wordWrap/>
              <w:overflowPunct/>
              <w:topLinePunct w:val="0"/>
              <w:bidi w:val="0"/>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S011035000110202001266</w:t>
            </w:r>
          </w:p>
        </w:tc>
        <w:tc>
          <w:tcPr>
            <w:tcW w:w="1854" w:type="dxa"/>
            <w:noWrap w:val="0"/>
            <w:vAlign w:val="top"/>
          </w:tcPr>
          <w:p>
            <w:pPr>
              <w:keepNext w:val="0"/>
              <w:keepLines w:val="0"/>
              <w:pageBreakBefore w:val="0"/>
              <w:widowControl w:val="0"/>
              <w:kinsoku/>
              <w:wordWrap/>
              <w:overflowPunct/>
              <w:topLinePunct w:val="0"/>
              <w:bidi w:val="0"/>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040978</w:t>
            </w:r>
          </w:p>
        </w:tc>
        <w:tc>
          <w:tcPr>
            <w:tcW w:w="1412"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19"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过程控制负责人</w:t>
            </w:r>
          </w:p>
        </w:tc>
        <w:tc>
          <w:tcPr>
            <w:tcW w:w="1143" w:type="dxa"/>
            <w:noWrap w:val="0"/>
            <w:vAlign w:val="center"/>
          </w:tcPr>
          <w:p>
            <w:pPr>
              <w:keepNext w:val="0"/>
              <w:keepLines w:val="0"/>
              <w:pageBreakBefore w:val="0"/>
              <w:widowControl w:val="0"/>
              <w:kinsoku/>
              <w:wordWrap/>
              <w:overflowPunct/>
              <w:topLinePunct w:val="0"/>
              <w:bidi w:val="0"/>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刘求学</w:t>
            </w:r>
          </w:p>
        </w:tc>
        <w:tc>
          <w:tcPr>
            <w:tcW w:w="2990" w:type="dxa"/>
            <w:noWrap w:val="0"/>
            <w:vAlign w:val="center"/>
          </w:tcPr>
          <w:p>
            <w:pPr>
              <w:keepNext w:val="0"/>
              <w:keepLines w:val="0"/>
              <w:pageBreakBefore w:val="0"/>
              <w:widowControl w:val="0"/>
              <w:kinsoku/>
              <w:wordWrap/>
              <w:overflowPunct/>
              <w:topLinePunct w:val="0"/>
              <w:bidi w:val="0"/>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S011044000110192002758</w:t>
            </w:r>
          </w:p>
        </w:tc>
        <w:tc>
          <w:tcPr>
            <w:tcW w:w="1854" w:type="dxa"/>
            <w:noWrap w:val="0"/>
            <w:vAlign w:val="top"/>
          </w:tcPr>
          <w:p>
            <w:pPr>
              <w:keepNext w:val="0"/>
              <w:keepLines w:val="0"/>
              <w:pageBreakBefore w:val="0"/>
              <w:widowControl w:val="0"/>
              <w:kinsoku/>
              <w:wordWrap/>
              <w:overflowPunct/>
              <w:topLinePunct w:val="0"/>
              <w:bidi w:val="0"/>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036807</w:t>
            </w:r>
          </w:p>
        </w:tc>
        <w:tc>
          <w:tcPr>
            <w:tcW w:w="1412"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19"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技术负责人</w:t>
            </w:r>
          </w:p>
        </w:tc>
        <w:tc>
          <w:tcPr>
            <w:tcW w:w="1143"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应  宏</w:t>
            </w:r>
          </w:p>
        </w:tc>
        <w:tc>
          <w:tcPr>
            <w:tcW w:w="2990"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0800000000101630</w:t>
            </w:r>
          </w:p>
        </w:tc>
        <w:tc>
          <w:tcPr>
            <w:tcW w:w="1854"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001630</w:t>
            </w:r>
          </w:p>
        </w:tc>
        <w:tc>
          <w:tcPr>
            <w:tcW w:w="1412"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919"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参与人员</w:t>
            </w:r>
          </w:p>
        </w:tc>
        <w:tc>
          <w:tcPr>
            <w:tcW w:w="1143"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汪海波</w:t>
            </w:r>
          </w:p>
        </w:tc>
        <w:tc>
          <w:tcPr>
            <w:tcW w:w="484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专业：安全工程</w:t>
            </w:r>
          </w:p>
        </w:tc>
        <w:tc>
          <w:tcPr>
            <w:tcW w:w="1412" w:type="dxa"/>
            <w:noWrap w:val="0"/>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24"/>
                <w:szCs w:val="24"/>
                <w:lang w:val="en-US" w:eastAsia="zh-CN"/>
              </w:rPr>
            </w:pPr>
          </w:p>
        </w:tc>
      </w:tr>
    </w:tbl>
    <w:p>
      <w:pPr>
        <w:rPr>
          <w:rFonts w:hint="eastAsia" w:ascii="宋体" w:hAnsi="宋体" w:eastAsia="宋体" w:cs="宋体"/>
          <w:color w:val="auto"/>
          <w:szCs w:val="28"/>
        </w:rPr>
      </w:pPr>
      <w:bookmarkStart w:id="6" w:name="_Toc7656"/>
      <w:bookmarkStart w:id="7" w:name="_Toc14499"/>
      <w:bookmarkStart w:id="8" w:name="_Toc2208"/>
      <w:r>
        <w:rPr>
          <w:rFonts w:hint="eastAsia" w:ascii="宋体" w:hAnsi="宋体" w:eastAsia="宋体" w:cs="宋体"/>
          <w:color w:val="auto"/>
          <w:szCs w:val="28"/>
        </w:rPr>
        <w:br w:type="page"/>
      </w:r>
    </w:p>
    <w:p>
      <w:pPr>
        <w:keepNext w:val="0"/>
        <w:keepLines w:val="0"/>
        <w:pageBreakBefore w:val="0"/>
        <w:widowControl w:val="0"/>
        <w:kinsoku/>
        <w:wordWrap/>
        <w:overflowPunct/>
        <w:topLinePunct w:val="0"/>
        <w:bidi w:val="0"/>
        <w:snapToGrid/>
        <w:spacing w:line="580" w:lineRule="exact"/>
        <w:jc w:val="center"/>
        <w:textAlignment w:val="auto"/>
        <w:rPr>
          <w:rFonts w:hint="eastAsia" w:ascii="宋体" w:hAnsi="宋体" w:eastAsia="宋体" w:cs="宋体"/>
          <w:color w:val="auto"/>
          <w:szCs w:val="28"/>
        </w:rPr>
      </w:pPr>
      <w:r>
        <w:rPr>
          <w:rFonts w:hint="eastAsia" w:ascii="宋体" w:hAnsi="宋体" w:eastAsia="宋体" w:cs="宋体"/>
          <w:color w:val="auto"/>
          <w:szCs w:val="28"/>
        </w:rPr>
        <w:t>前   言</w:t>
      </w:r>
      <w:bookmarkEnd w:id="6"/>
      <w:bookmarkEnd w:id="7"/>
      <w:bookmarkEnd w:id="8"/>
    </w:p>
    <w:p>
      <w:pPr>
        <w:keepNext w:val="0"/>
        <w:keepLines w:val="0"/>
        <w:pageBreakBefore w:val="0"/>
        <w:widowControl w:val="0"/>
        <w:kinsoku/>
        <w:wordWrap/>
        <w:overflowPunct/>
        <w:topLinePunct w:val="0"/>
        <w:bidi w:val="0"/>
        <w:snapToGrid/>
        <w:spacing w:line="58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江西兆驰半导体有限公司位于南昌市南昌高新技术产业开发区天祥北大道1717号，该公司成立于2017年7月32日，注册资金</w:t>
      </w:r>
      <w:r>
        <w:rPr>
          <w:rFonts w:hint="eastAsia" w:ascii="宋体" w:hAnsi="宋体" w:eastAsia="宋体" w:cs="宋体"/>
          <w:color w:val="auto"/>
          <w:szCs w:val="28"/>
        </w:rPr>
        <w:t>31</w:t>
      </w:r>
      <w:r>
        <w:rPr>
          <w:rFonts w:hint="eastAsia" w:ascii="宋体" w:hAnsi="宋体" w:eastAsia="宋体" w:cs="宋体"/>
          <w:color w:val="auto"/>
          <w:szCs w:val="28"/>
        </w:rPr>
        <w:t>0000万元，企业法人为顾伟，公司许可经营范围为：半导体材料与器件、电子材料与器件、半导体照明设备的设计、研发、生产（仅限分支机构）、销售；自营或代理各类商品及技术的进出口业务；信息技术咨询服务；（依法须经批准的项目，经相关部门批准后方可开展经营活动）。该企业于2021年</w:t>
      </w:r>
      <w:r>
        <w:rPr>
          <w:rFonts w:hint="eastAsia" w:ascii="宋体" w:hAnsi="宋体" w:eastAsia="宋体" w:cs="宋体"/>
          <w:color w:val="auto"/>
          <w:szCs w:val="28"/>
          <w:lang w:val="en-US" w:eastAsia="zh-CN"/>
        </w:rPr>
        <w:t>5</w:t>
      </w:r>
      <w:r>
        <w:rPr>
          <w:rFonts w:hint="eastAsia" w:ascii="宋体" w:hAnsi="宋体" w:eastAsia="宋体" w:cs="宋体"/>
          <w:color w:val="auto"/>
          <w:szCs w:val="28"/>
        </w:rPr>
        <w:t>月</w:t>
      </w:r>
      <w:r>
        <w:rPr>
          <w:rFonts w:hint="eastAsia" w:ascii="宋体" w:hAnsi="宋体" w:eastAsia="宋体" w:cs="宋体"/>
          <w:color w:val="auto"/>
          <w:szCs w:val="28"/>
          <w:lang w:val="en-US" w:eastAsia="zh-CN"/>
        </w:rPr>
        <w:t>14</w:t>
      </w:r>
      <w:r>
        <w:rPr>
          <w:rFonts w:hint="eastAsia" w:ascii="宋体" w:hAnsi="宋体" w:eastAsia="宋体" w:cs="宋体"/>
          <w:color w:val="auto"/>
          <w:szCs w:val="28"/>
        </w:rPr>
        <w:t>日通过安全验收评价</w:t>
      </w:r>
      <w:r>
        <w:rPr>
          <w:rFonts w:hint="eastAsia" w:ascii="宋体" w:hAnsi="宋体" w:eastAsia="宋体" w:cs="宋体"/>
          <w:color w:val="auto"/>
          <w:szCs w:val="28"/>
          <w:lang w:eastAsia="zh-CN"/>
        </w:rPr>
        <w:t>专家评审会</w:t>
      </w:r>
      <w:r>
        <w:rPr>
          <w:rFonts w:hint="eastAsia" w:ascii="宋体" w:hAnsi="宋体" w:eastAsia="宋体" w:cs="宋体"/>
          <w:color w:val="auto"/>
          <w:szCs w:val="28"/>
        </w:rPr>
        <w:t>，</w:t>
      </w:r>
      <w:r>
        <w:rPr>
          <w:rFonts w:hint="eastAsia" w:ascii="宋体" w:hAnsi="宋体" w:eastAsia="宋体" w:cs="宋体"/>
          <w:color w:val="auto"/>
          <w:szCs w:val="28"/>
          <w:lang w:val="en-US" w:eastAsia="zh-CN"/>
        </w:rPr>
        <w:t>9月13日取得复核意见。</w:t>
      </w:r>
      <w:r>
        <w:rPr>
          <w:rFonts w:hint="eastAsia" w:ascii="宋体" w:hAnsi="宋体" w:eastAsia="宋体" w:cs="宋体"/>
          <w:color w:val="auto"/>
          <w:szCs w:val="28"/>
        </w:rPr>
        <w:t>由于该企业副产品氨水需要办理危险化学品经营许可证，委托江西赣昌安全</w:t>
      </w:r>
      <w:r>
        <w:rPr>
          <w:rFonts w:hint="eastAsia" w:ascii="宋体" w:hAnsi="宋体" w:eastAsia="宋体" w:cs="宋体"/>
          <w:color w:val="auto"/>
          <w:szCs w:val="28"/>
        </w:rPr>
        <w:t>生产科技服务有限公司</w:t>
      </w:r>
      <w:r>
        <w:rPr>
          <w:rFonts w:hint="eastAsia" w:ascii="宋体" w:hAnsi="宋体" w:eastAsia="宋体" w:cs="宋体"/>
          <w:color w:val="auto"/>
          <w:szCs w:val="28"/>
        </w:rPr>
        <w:t>承担该企业</w:t>
      </w:r>
      <w:r>
        <w:rPr>
          <w:rFonts w:hint="eastAsia" w:ascii="宋体" w:hAnsi="宋体" w:eastAsia="宋体" w:cs="宋体"/>
          <w:color w:val="auto"/>
          <w:szCs w:val="28"/>
        </w:rPr>
        <w:t>氨</w:t>
      </w:r>
      <w:r>
        <w:rPr>
          <w:rFonts w:hint="eastAsia" w:ascii="宋体" w:hAnsi="宋体" w:eastAsia="宋体" w:cs="宋体"/>
          <w:color w:val="auto"/>
          <w:szCs w:val="28"/>
        </w:rPr>
        <w:t>水回收装置的安全现状评价工作。</w:t>
      </w:r>
    </w:p>
    <w:p>
      <w:pPr>
        <w:keepNext w:val="0"/>
        <w:keepLines w:val="0"/>
        <w:pageBreakBefore w:val="0"/>
        <w:widowControl w:val="0"/>
        <w:kinsoku/>
        <w:wordWrap/>
        <w:overflowPunct/>
        <w:topLinePunct w:val="0"/>
        <w:autoSpaceDE w:val="0"/>
        <w:autoSpaceDN w:val="0"/>
        <w:bidi w:val="0"/>
        <w:adjustRightInd w:val="0"/>
        <w:snapToGrid/>
        <w:spacing w:line="58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该企业氨水回收装置涉及的物料中氨水</w:t>
      </w:r>
      <w:r>
        <w:rPr>
          <w:rFonts w:hint="eastAsia" w:ascii="宋体" w:hAnsi="宋体" w:eastAsia="宋体" w:cs="宋体"/>
          <w:color w:val="auto"/>
          <w:szCs w:val="28"/>
          <w:lang w:val="en-US" w:eastAsia="zh-CN"/>
        </w:rPr>
        <w:t>(20%）</w:t>
      </w:r>
      <w:r>
        <w:rPr>
          <w:rFonts w:hint="eastAsia" w:ascii="宋体" w:hAnsi="宋体" w:eastAsia="宋体" w:cs="宋体"/>
          <w:color w:val="auto"/>
          <w:szCs w:val="28"/>
        </w:rPr>
        <w:t>、氨气属于《危险化学品目录》（2015年版）的危化品，未构成</w:t>
      </w:r>
      <w:r>
        <w:rPr>
          <w:rFonts w:hint="eastAsia" w:ascii="宋体" w:hAnsi="宋体" w:eastAsia="宋体" w:cs="宋体"/>
          <w:color w:val="auto"/>
          <w:szCs w:val="28"/>
          <w:lang w:val="en-US" w:eastAsia="zh-CN"/>
        </w:rPr>
        <w:t>危险化学品</w:t>
      </w:r>
      <w:r>
        <w:rPr>
          <w:rFonts w:hint="eastAsia" w:ascii="宋体" w:hAnsi="宋体" w:eastAsia="宋体" w:cs="宋体"/>
          <w:color w:val="auto"/>
          <w:szCs w:val="28"/>
        </w:rPr>
        <w:t>重大危险源，未涉及易制毒化学品，未涉及监控化学品，未涉及剧毒化学品，未涉及易制爆危险化学品，</w:t>
      </w:r>
      <w:r>
        <w:rPr>
          <w:rFonts w:hint="eastAsia" w:ascii="宋体" w:hAnsi="宋体" w:eastAsia="宋体" w:cs="宋体"/>
          <w:color w:val="auto"/>
          <w:szCs w:val="28"/>
          <w:lang w:val="en-US" w:eastAsia="zh-CN"/>
        </w:rPr>
        <w:t>氨气为</w:t>
      </w:r>
      <w:r>
        <w:rPr>
          <w:rFonts w:hint="eastAsia" w:ascii="宋体" w:hAnsi="宋体" w:eastAsia="宋体" w:cs="宋体"/>
          <w:color w:val="auto"/>
          <w:szCs w:val="28"/>
        </w:rPr>
        <w:t>高毒物品，不涉及易制爆危险化学品辨识，无重点监管的危险化学工艺，</w:t>
      </w:r>
      <w:r>
        <w:rPr>
          <w:rFonts w:hint="eastAsia" w:ascii="宋体" w:hAnsi="宋体" w:eastAsia="宋体" w:cs="宋体"/>
          <w:color w:val="auto"/>
          <w:szCs w:val="28"/>
          <w:lang w:val="en-US" w:eastAsia="zh-CN"/>
        </w:rPr>
        <w:t>氨气为</w:t>
      </w:r>
      <w:r>
        <w:rPr>
          <w:rFonts w:hint="eastAsia" w:ascii="宋体" w:hAnsi="宋体" w:eastAsia="宋体" w:cs="宋体"/>
          <w:color w:val="auto"/>
          <w:szCs w:val="28"/>
        </w:rPr>
        <w:t>重点监管危险化学品。</w:t>
      </w:r>
    </w:p>
    <w:p>
      <w:pPr>
        <w:keepNext w:val="0"/>
        <w:keepLines w:val="0"/>
        <w:pageBreakBefore w:val="0"/>
        <w:widowControl w:val="0"/>
        <w:kinsoku/>
        <w:wordWrap/>
        <w:overflowPunct/>
        <w:topLinePunct w:val="0"/>
        <w:bidi w:val="0"/>
        <w:snapToGrid/>
        <w:spacing w:line="58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受江西兆驰半导体有限公司的委托，江西</w:t>
      </w:r>
      <w:r>
        <w:rPr>
          <w:rFonts w:hint="eastAsia" w:ascii="宋体" w:hAnsi="宋体" w:eastAsia="宋体" w:cs="宋体"/>
          <w:color w:val="auto"/>
          <w:szCs w:val="28"/>
        </w:rPr>
        <w:t>赣昌安全生产科技服务有限公司</w:t>
      </w:r>
      <w:r>
        <w:rPr>
          <w:rFonts w:hint="eastAsia" w:ascii="宋体" w:hAnsi="宋体" w:eastAsia="宋体" w:cs="宋体"/>
          <w:color w:val="auto"/>
          <w:szCs w:val="28"/>
        </w:rPr>
        <w:t>承担江西兆驰半导体有限公司氨水回收装置的安全现状评价工作，并于2021年12月组织了安全评价小组，按有关要求，进行了资料的准备、现场检查。在此基础上出具了本评价报告，作为江西兆驰半导体有限公司申请氨水危险化学品经营许可证的技术依据。本报告根据现场评价时企业的生产现状和企业提供的有关资料及有关负责人对装置的介绍进行编制，江西兆驰半导体有限公司对本报告涉及的有关原始资料的真实性负责。</w:t>
      </w:r>
    </w:p>
    <w:p>
      <w:pPr>
        <w:keepNext w:val="0"/>
        <w:keepLines w:val="0"/>
        <w:pageBreakBefore w:val="0"/>
        <w:widowControl w:val="0"/>
        <w:kinsoku/>
        <w:wordWrap/>
        <w:overflowPunct/>
        <w:topLinePunct w:val="0"/>
        <w:bidi w:val="0"/>
        <w:snapToGrid/>
        <w:spacing w:line="58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报告在编制过程中，得到了有关部门及相关领导、专家、同仁的大力支持，在此深表谢意！同时在编写过程中可能存在的不妥之处，请赐教！</w:t>
      </w:r>
    </w:p>
    <w:p>
      <w:pPr>
        <w:pStyle w:val="37"/>
        <w:pageBreakBefore w:val="0"/>
        <w:kinsoku/>
        <w:wordWrap/>
        <w:overflowPunct/>
        <w:topLinePunct w:val="0"/>
        <w:autoSpaceDE/>
        <w:autoSpaceDN/>
        <w:bidi w:val="0"/>
        <w:adjustRightInd/>
        <w:snapToGrid/>
        <w:spacing w:before="0" w:line="480" w:lineRule="exact"/>
        <w:jc w:val="center"/>
        <w:textAlignment w:val="auto"/>
        <w:rPr>
          <w:rFonts w:hint="eastAsia" w:ascii="宋体" w:hAnsi="宋体" w:eastAsia="宋体" w:cs="宋体"/>
          <w:b w:val="0"/>
          <w:color w:val="auto"/>
          <w:sz w:val="28"/>
          <w:szCs w:val="28"/>
          <w:lang w:val="zh-CN"/>
        </w:rPr>
      </w:pPr>
      <w:r>
        <w:rPr>
          <w:rFonts w:hint="eastAsia" w:ascii="宋体" w:hAnsi="宋体" w:eastAsia="宋体" w:cs="宋体"/>
          <w:color w:val="auto"/>
        </w:rPr>
        <w:br w:type="page"/>
      </w:r>
      <w:bookmarkStart w:id="9" w:name="_Toc16307"/>
      <w:bookmarkStart w:id="10" w:name="_Toc18364"/>
      <w:r>
        <w:rPr>
          <w:rFonts w:hint="eastAsia" w:ascii="宋体" w:hAnsi="宋体" w:eastAsia="宋体" w:cs="宋体"/>
          <w:b w:val="0"/>
          <w:color w:val="auto"/>
          <w:sz w:val="28"/>
          <w:szCs w:val="28"/>
          <w:lang w:val="zh-CN"/>
        </w:rPr>
        <w:t>目 录</w:t>
      </w:r>
      <w:bookmarkEnd w:id="9"/>
      <w:bookmarkEnd w:id="10"/>
    </w:p>
    <w:p>
      <w:pPr>
        <w:pStyle w:val="21"/>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bookmarkStart w:id="11" w:name="_Toc12351"/>
      <w:bookmarkStart w:id="12" w:name="_Toc19676"/>
      <w:bookmarkStart w:id="13" w:name="_Toc13624"/>
      <w:r>
        <w:rPr>
          <w:rFonts w:hint="eastAsia" w:ascii="宋体" w:hAnsi="宋体" w:eastAsia="宋体" w:cs="宋体"/>
          <w:b/>
          <w:bCs/>
          <w:color w:val="auto"/>
          <w:sz w:val="28"/>
          <w:szCs w:val="28"/>
          <w:lang w:val="zh-CN"/>
        </w:rPr>
        <w:fldChar w:fldCharType="begin"/>
      </w:r>
      <w:r>
        <w:rPr>
          <w:rFonts w:hint="eastAsia" w:ascii="宋体" w:hAnsi="宋体" w:eastAsia="宋体" w:cs="宋体"/>
          <w:b/>
          <w:bCs/>
          <w:color w:val="auto"/>
          <w:sz w:val="28"/>
          <w:szCs w:val="28"/>
          <w:lang w:val="zh-CN"/>
        </w:rPr>
        <w:instrText xml:space="preserve">TOC \o "1-2" \h \u </w:instrText>
      </w:r>
      <w:r>
        <w:rPr>
          <w:rFonts w:hint="eastAsia" w:ascii="宋体" w:hAnsi="宋体" w:eastAsia="宋体" w:cs="宋体"/>
          <w:b/>
          <w:bCs/>
          <w:color w:val="auto"/>
          <w:sz w:val="28"/>
          <w:szCs w:val="28"/>
          <w:lang w:val="zh-CN"/>
        </w:rPr>
        <w:fldChar w:fldCharType="separate"/>
      </w: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_Toc2275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1、评价概述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_Toc2275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_Toc12854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1.1评价目的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_Toc12854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_Toc9851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1.2评价原则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_Toc9851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_Toc4191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1.3安全现状评价主要依据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_Toc4191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_Toc30795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1.4安全现状评价范围</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_Toc30795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_Toc8880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1.5安全现状评价程序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_Toc8880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1"/>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_Toc17463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2、建设项目概况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_Toc17463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_Toc26603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2.1建设单位概况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_Toc26603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_Toc25765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2.2地理位置与周边环境</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_Toc25765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_Toc29923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2.3总平面布置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_Toc29923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_Toc14104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2.4工艺流程及主要设备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_Toc14104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_Toc17699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2.5公用工程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_Toc17699 \h </w:instrText>
      </w:r>
      <w:r>
        <w:rPr>
          <w:rFonts w:hint="eastAsia" w:ascii="宋体" w:hAnsi="宋体" w:eastAsia="宋体" w:cs="宋体"/>
          <w:sz w:val="28"/>
          <w:szCs w:val="28"/>
        </w:rPr>
        <w:fldChar w:fldCharType="separate"/>
      </w:r>
      <w:r>
        <w:rPr>
          <w:rFonts w:hint="eastAsia" w:ascii="宋体" w:hAnsi="宋体" w:eastAsia="宋体" w:cs="宋体"/>
          <w:sz w:val="28"/>
          <w:szCs w:val="28"/>
        </w:rPr>
        <w:t>21</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_Toc21682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2.6消防及安全设施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_Toc21682 \h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_Toc4576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2.7安全管理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_Toc4576 \h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_Toc3060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2.8事故应急预案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_Toc3060 \h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1"/>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_Toc26959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3危险、有害因素分析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_Toc26959 \h </w:instrText>
      </w:r>
      <w:r>
        <w:rPr>
          <w:rFonts w:hint="eastAsia" w:ascii="宋体" w:hAnsi="宋体" w:eastAsia="宋体" w:cs="宋体"/>
          <w:sz w:val="28"/>
          <w:szCs w:val="28"/>
        </w:rPr>
        <w:fldChar w:fldCharType="separate"/>
      </w:r>
      <w:r>
        <w:rPr>
          <w:rFonts w:hint="eastAsia" w:ascii="宋体" w:hAnsi="宋体" w:eastAsia="宋体" w:cs="宋体"/>
          <w:sz w:val="28"/>
          <w:szCs w:val="28"/>
        </w:rPr>
        <w:t>35</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_Toc3366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3.1物质的主要危险、有害特性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_Toc3366 \h </w:instrText>
      </w:r>
      <w:r>
        <w:rPr>
          <w:rFonts w:hint="eastAsia" w:ascii="宋体" w:hAnsi="宋体" w:eastAsia="宋体" w:cs="宋体"/>
          <w:sz w:val="28"/>
          <w:szCs w:val="28"/>
        </w:rPr>
        <w:fldChar w:fldCharType="separate"/>
      </w:r>
      <w:r>
        <w:rPr>
          <w:rFonts w:hint="eastAsia" w:ascii="宋体" w:hAnsi="宋体" w:eastAsia="宋体" w:cs="宋体"/>
          <w:sz w:val="28"/>
          <w:szCs w:val="28"/>
        </w:rPr>
        <w:t>35</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_Toc20952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3.2重大危险源辨识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_Toc20952 \h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_Toc1869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3.3危险化学品辨识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_Toc1869 \h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_Toc24512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3.4工艺过程的危险因素分析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_Toc24512 \h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_Toc8609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3.5主要设备、设施危险性分析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_Toc8609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_Toc6461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3.6危险、危害产生的原因分析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_Toc6461 \h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_Toc24030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3.7作业环境危险性分析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_Toc24030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_Toc9233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3.8安全管理缺陷分析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_Toc9233 \h </w:instrText>
      </w:r>
      <w:r>
        <w:rPr>
          <w:rFonts w:hint="eastAsia" w:ascii="宋体" w:hAnsi="宋体" w:eastAsia="宋体" w:cs="宋体"/>
          <w:sz w:val="28"/>
          <w:szCs w:val="28"/>
        </w:rPr>
        <w:fldChar w:fldCharType="separate"/>
      </w:r>
      <w:r>
        <w:rPr>
          <w:rFonts w:hint="eastAsia" w:ascii="宋体" w:hAnsi="宋体" w:eastAsia="宋体" w:cs="宋体"/>
          <w:sz w:val="28"/>
          <w:szCs w:val="28"/>
        </w:rPr>
        <w:t>50</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_Toc4577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3.9自然危害因素</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_Toc4577 \h </w:instrText>
      </w:r>
      <w:r>
        <w:rPr>
          <w:rFonts w:hint="eastAsia" w:ascii="宋体" w:hAnsi="宋体" w:eastAsia="宋体" w:cs="宋体"/>
          <w:sz w:val="28"/>
          <w:szCs w:val="28"/>
        </w:rPr>
        <w:fldChar w:fldCharType="separate"/>
      </w:r>
      <w:r>
        <w:rPr>
          <w:rFonts w:hint="eastAsia" w:ascii="宋体" w:hAnsi="宋体" w:eastAsia="宋体" w:cs="宋体"/>
          <w:sz w:val="28"/>
          <w:szCs w:val="28"/>
        </w:rPr>
        <w:t>51</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_Toc20772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3.10危险、有害因素分布</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_Toc20772 \h </w:instrText>
      </w:r>
      <w:r>
        <w:rPr>
          <w:rFonts w:hint="eastAsia" w:ascii="宋体" w:hAnsi="宋体" w:eastAsia="宋体" w:cs="宋体"/>
          <w:sz w:val="28"/>
          <w:szCs w:val="28"/>
        </w:rPr>
        <w:fldChar w:fldCharType="separate"/>
      </w:r>
      <w:r>
        <w:rPr>
          <w:rFonts w:hint="eastAsia" w:ascii="宋体" w:hAnsi="宋体" w:eastAsia="宋体" w:cs="宋体"/>
          <w:sz w:val="28"/>
          <w:szCs w:val="28"/>
        </w:rPr>
        <w:t>52</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1"/>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_Toc23412 </w:instrText>
      </w:r>
      <w:r>
        <w:rPr>
          <w:rFonts w:hint="eastAsia" w:ascii="宋体" w:hAnsi="宋体" w:eastAsia="宋体" w:cs="宋体"/>
          <w:bCs/>
          <w:sz w:val="28"/>
          <w:szCs w:val="28"/>
          <w:lang w:val="zh-CN"/>
        </w:rPr>
        <w:fldChar w:fldCharType="separate"/>
      </w:r>
      <w:r>
        <w:rPr>
          <w:rFonts w:hint="eastAsia" w:ascii="宋体" w:hAnsi="宋体" w:eastAsia="宋体" w:cs="宋体"/>
          <w:bCs/>
          <w:kern w:val="44"/>
          <w:sz w:val="28"/>
          <w:szCs w:val="28"/>
        </w:rPr>
        <w:t>4评价方法的选择及评价单元划分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_Toc23412 \h </w:instrText>
      </w:r>
      <w:r>
        <w:rPr>
          <w:rFonts w:hint="eastAsia" w:ascii="宋体" w:hAnsi="宋体" w:eastAsia="宋体" w:cs="宋体"/>
          <w:sz w:val="28"/>
          <w:szCs w:val="28"/>
        </w:rPr>
        <w:fldChar w:fldCharType="separate"/>
      </w:r>
      <w:r>
        <w:rPr>
          <w:rFonts w:hint="eastAsia" w:ascii="宋体" w:hAnsi="宋体" w:eastAsia="宋体" w:cs="宋体"/>
          <w:sz w:val="28"/>
          <w:szCs w:val="28"/>
        </w:rPr>
        <w:t>53</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_Toc18230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4.1划分评价单元及评价方法的确定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_Toc18230 \h </w:instrText>
      </w:r>
      <w:r>
        <w:rPr>
          <w:rFonts w:hint="eastAsia" w:ascii="宋体" w:hAnsi="宋体" w:eastAsia="宋体" w:cs="宋体"/>
          <w:sz w:val="28"/>
          <w:szCs w:val="28"/>
        </w:rPr>
        <w:fldChar w:fldCharType="separate"/>
      </w:r>
      <w:r>
        <w:rPr>
          <w:rFonts w:hint="eastAsia" w:ascii="宋体" w:hAnsi="宋体" w:eastAsia="宋体" w:cs="宋体"/>
          <w:sz w:val="28"/>
          <w:szCs w:val="28"/>
        </w:rPr>
        <w:t>53</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_Toc16110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4.2评价单元划分及方法选择</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_Toc16110 \h </w:instrText>
      </w:r>
      <w:r>
        <w:rPr>
          <w:rFonts w:hint="eastAsia" w:ascii="宋体" w:hAnsi="宋体" w:eastAsia="宋体" w:cs="宋体"/>
          <w:sz w:val="28"/>
          <w:szCs w:val="28"/>
        </w:rPr>
        <w:fldChar w:fldCharType="separate"/>
      </w:r>
      <w:r>
        <w:rPr>
          <w:rFonts w:hint="eastAsia" w:ascii="宋体" w:hAnsi="宋体" w:eastAsia="宋体" w:cs="宋体"/>
          <w:sz w:val="28"/>
          <w:szCs w:val="28"/>
        </w:rPr>
        <w:t>53</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_Toc27647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4.3评价方法简介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_Toc27647 \h </w:instrText>
      </w:r>
      <w:r>
        <w:rPr>
          <w:rFonts w:hint="eastAsia" w:ascii="宋体" w:hAnsi="宋体" w:eastAsia="宋体" w:cs="宋体"/>
          <w:sz w:val="28"/>
          <w:szCs w:val="28"/>
        </w:rPr>
        <w:fldChar w:fldCharType="separate"/>
      </w:r>
      <w:r>
        <w:rPr>
          <w:rFonts w:hint="eastAsia" w:ascii="宋体" w:hAnsi="宋体" w:eastAsia="宋体" w:cs="宋体"/>
          <w:sz w:val="28"/>
          <w:szCs w:val="28"/>
        </w:rPr>
        <w:t>54</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1"/>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_Toc13457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5危险有害程度评价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_Toc13457 \h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_Toc1590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5.1固有的危险程度分析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_Toc1590 \h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_Toc32551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5.2危险度分析评价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_Toc32551 \h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_Toc15081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5.3作业条件危险性评价法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_Toc15081 \h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1"/>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_Toc852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6 经营单位前置条件符合性评价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_Toc852 \h </w:instrText>
      </w:r>
      <w:r>
        <w:rPr>
          <w:rFonts w:hint="eastAsia" w:ascii="宋体" w:hAnsi="宋体" w:eastAsia="宋体" w:cs="宋体"/>
          <w:sz w:val="28"/>
          <w:szCs w:val="28"/>
        </w:rPr>
        <w:fldChar w:fldCharType="separate"/>
      </w:r>
      <w:r>
        <w:rPr>
          <w:rFonts w:hint="eastAsia" w:ascii="宋体" w:hAnsi="宋体" w:eastAsia="宋体" w:cs="宋体"/>
          <w:sz w:val="28"/>
          <w:szCs w:val="28"/>
        </w:rPr>
        <w:t>61</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_Toc10417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6.1危险化学品经营单位安全评价现场检查表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_Toc10417 \h </w:instrText>
      </w:r>
      <w:r>
        <w:rPr>
          <w:rFonts w:hint="eastAsia" w:ascii="宋体" w:hAnsi="宋体" w:eastAsia="宋体" w:cs="宋体"/>
          <w:sz w:val="28"/>
          <w:szCs w:val="28"/>
        </w:rPr>
        <w:fldChar w:fldCharType="separate"/>
      </w:r>
      <w:r>
        <w:rPr>
          <w:rFonts w:hint="eastAsia" w:ascii="宋体" w:hAnsi="宋体" w:eastAsia="宋体" w:cs="宋体"/>
          <w:sz w:val="28"/>
          <w:szCs w:val="28"/>
        </w:rPr>
        <w:t>61</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_Toc10158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6.2《危险化学品经营许可证管理办法》检查表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_Toc10158 \h </w:instrText>
      </w:r>
      <w:r>
        <w:rPr>
          <w:rFonts w:hint="eastAsia" w:ascii="宋体" w:hAnsi="宋体" w:eastAsia="宋体" w:cs="宋体"/>
          <w:sz w:val="28"/>
          <w:szCs w:val="28"/>
        </w:rPr>
        <w:fldChar w:fldCharType="separate"/>
      </w:r>
      <w:r>
        <w:rPr>
          <w:rFonts w:hint="eastAsia" w:ascii="宋体" w:hAnsi="宋体" w:eastAsia="宋体" w:cs="宋体"/>
          <w:sz w:val="28"/>
          <w:szCs w:val="28"/>
        </w:rPr>
        <w:t>64</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1"/>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_Toc23718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7 安全经营条件符合性评价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_Toc23718 \h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_Toc27236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7.1总体布局符合性评价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_Toc27236 \h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_Toc13288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7.2常规防护设施安全评价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_Toc13288 \h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_Toc21782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7.3工艺、设备设施安全评价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_Toc21782 \h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_Toc13965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lang w:val="en-US" w:eastAsia="zh-CN"/>
        </w:rPr>
        <w:t>7</w:t>
      </w:r>
      <w:bookmarkStart w:id="626" w:name="_GoBack"/>
      <w:bookmarkEnd w:id="626"/>
      <w:r>
        <w:rPr>
          <w:rFonts w:hint="eastAsia" w:ascii="宋体" w:hAnsi="宋体" w:eastAsia="宋体" w:cs="宋体"/>
          <w:sz w:val="28"/>
          <w:szCs w:val="28"/>
          <w:lang w:val="en-US" w:eastAsia="zh-CN"/>
        </w:rPr>
        <w:t>.4防火间距、耐火等级、面积评价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_Toc13965 \h </w:instrText>
      </w:r>
      <w:r>
        <w:rPr>
          <w:rFonts w:hint="eastAsia" w:ascii="宋体" w:hAnsi="宋体" w:eastAsia="宋体" w:cs="宋体"/>
          <w:sz w:val="28"/>
          <w:szCs w:val="28"/>
        </w:rPr>
        <w:fldChar w:fldCharType="separate"/>
      </w:r>
      <w:r>
        <w:rPr>
          <w:rFonts w:hint="eastAsia" w:ascii="宋体" w:hAnsi="宋体" w:eastAsia="宋体" w:cs="宋体"/>
          <w:sz w:val="28"/>
          <w:szCs w:val="28"/>
        </w:rPr>
        <w:t>68</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_Toc18578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7.</w:t>
      </w:r>
      <w:r>
        <w:rPr>
          <w:rFonts w:hint="eastAsia" w:ascii="宋体" w:hAnsi="宋体" w:eastAsia="宋体" w:cs="宋体"/>
          <w:sz w:val="28"/>
          <w:szCs w:val="28"/>
          <w:lang w:val="en-US" w:eastAsia="zh-CN"/>
        </w:rPr>
        <w:t>5</w:t>
      </w:r>
      <w:r>
        <w:rPr>
          <w:rFonts w:hint="eastAsia" w:ascii="宋体" w:hAnsi="宋体" w:eastAsia="宋体" w:cs="宋体"/>
          <w:sz w:val="28"/>
          <w:szCs w:val="28"/>
        </w:rPr>
        <w:t>安全管理评价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_Toc18578 \h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1"/>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_Toc7929 </w:instrText>
      </w:r>
      <w:r>
        <w:rPr>
          <w:rFonts w:hint="eastAsia" w:ascii="宋体" w:hAnsi="宋体" w:eastAsia="宋体" w:cs="宋体"/>
          <w:bCs/>
          <w:sz w:val="28"/>
          <w:szCs w:val="28"/>
          <w:lang w:val="zh-CN"/>
        </w:rPr>
        <w:fldChar w:fldCharType="separate"/>
      </w:r>
      <w:r>
        <w:rPr>
          <w:rFonts w:hint="eastAsia" w:ascii="宋体" w:hAnsi="宋体" w:eastAsia="宋体" w:cs="宋体"/>
          <w:bCs/>
          <w:sz w:val="28"/>
          <w:szCs w:val="28"/>
          <w:lang w:val="en-US" w:eastAsia="zh-CN"/>
        </w:rPr>
        <w:t>8</w:t>
      </w:r>
      <w:r>
        <w:rPr>
          <w:rFonts w:hint="eastAsia" w:ascii="宋体" w:hAnsi="宋体" w:eastAsia="宋体" w:cs="宋体"/>
          <w:bCs/>
          <w:sz w:val="28"/>
          <w:szCs w:val="28"/>
        </w:rPr>
        <w:t>安全对策措施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_Toc7929 \h </w:instrText>
      </w:r>
      <w:r>
        <w:rPr>
          <w:rFonts w:hint="eastAsia" w:ascii="宋体" w:hAnsi="宋体" w:eastAsia="宋体" w:cs="宋体"/>
          <w:sz w:val="28"/>
          <w:szCs w:val="28"/>
        </w:rPr>
        <w:fldChar w:fldCharType="separate"/>
      </w:r>
      <w:r>
        <w:rPr>
          <w:rFonts w:hint="eastAsia" w:ascii="宋体" w:hAnsi="宋体" w:eastAsia="宋体" w:cs="宋体"/>
          <w:sz w:val="28"/>
          <w:szCs w:val="28"/>
        </w:rPr>
        <w:t>72</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_Toc10061 </w:instrText>
      </w:r>
      <w:r>
        <w:rPr>
          <w:rFonts w:hint="eastAsia" w:ascii="宋体" w:hAnsi="宋体" w:eastAsia="宋体" w:cs="宋体"/>
          <w:bCs/>
          <w:sz w:val="28"/>
          <w:szCs w:val="28"/>
          <w:lang w:val="zh-CN"/>
        </w:rPr>
        <w:fldChar w:fldCharType="separate"/>
      </w:r>
      <w:r>
        <w:rPr>
          <w:rFonts w:hint="eastAsia" w:ascii="宋体" w:hAnsi="宋体" w:eastAsia="宋体" w:cs="宋体"/>
          <w:bCs/>
          <w:sz w:val="28"/>
          <w:szCs w:val="28"/>
          <w:lang w:val="en-US" w:eastAsia="zh-CN"/>
        </w:rPr>
        <w:t>8</w:t>
      </w:r>
      <w:r>
        <w:rPr>
          <w:rFonts w:hint="eastAsia" w:ascii="宋体" w:hAnsi="宋体" w:eastAsia="宋体" w:cs="宋体"/>
          <w:bCs/>
          <w:sz w:val="28"/>
          <w:szCs w:val="28"/>
        </w:rPr>
        <w:t>.1安全对策措施、建议的依据及原则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_Toc10061 \h </w:instrText>
      </w:r>
      <w:r>
        <w:rPr>
          <w:rFonts w:hint="eastAsia" w:ascii="宋体" w:hAnsi="宋体" w:eastAsia="宋体" w:cs="宋体"/>
          <w:sz w:val="28"/>
          <w:szCs w:val="28"/>
        </w:rPr>
        <w:fldChar w:fldCharType="separate"/>
      </w:r>
      <w:r>
        <w:rPr>
          <w:rFonts w:hint="eastAsia" w:ascii="宋体" w:hAnsi="宋体" w:eastAsia="宋体" w:cs="宋体"/>
          <w:sz w:val="28"/>
          <w:szCs w:val="28"/>
        </w:rPr>
        <w:t>72</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_Toc6374 </w:instrText>
      </w:r>
      <w:r>
        <w:rPr>
          <w:rFonts w:hint="eastAsia" w:ascii="宋体" w:hAnsi="宋体" w:eastAsia="宋体" w:cs="宋体"/>
          <w:bCs/>
          <w:sz w:val="28"/>
          <w:szCs w:val="28"/>
          <w:lang w:val="zh-CN"/>
        </w:rPr>
        <w:fldChar w:fldCharType="separate"/>
      </w:r>
      <w:r>
        <w:rPr>
          <w:rFonts w:hint="eastAsia" w:ascii="宋体" w:hAnsi="宋体" w:eastAsia="宋体" w:cs="宋体"/>
          <w:bCs/>
          <w:sz w:val="28"/>
          <w:szCs w:val="28"/>
          <w:lang w:val="en-US" w:eastAsia="zh-CN"/>
        </w:rPr>
        <w:t>8</w:t>
      </w:r>
      <w:r>
        <w:rPr>
          <w:rFonts w:hint="eastAsia" w:ascii="宋体" w:hAnsi="宋体" w:eastAsia="宋体" w:cs="宋体"/>
          <w:bCs/>
          <w:sz w:val="28"/>
          <w:szCs w:val="28"/>
        </w:rPr>
        <w:t>.</w:t>
      </w:r>
      <w:r>
        <w:rPr>
          <w:rFonts w:hint="eastAsia" w:ascii="宋体" w:hAnsi="宋体" w:eastAsia="宋体" w:cs="宋体"/>
          <w:bCs/>
          <w:sz w:val="28"/>
          <w:szCs w:val="28"/>
          <w:lang w:val="en-US" w:eastAsia="zh-CN"/>
        </w:rPr>
        <w:t>2</w:t>
      </w:r>
      <w:r>
        <w:rPr>
          <w:rFonts w:hint="eastAsia" w:ascii="宋体" w:hAnsi="宋体" w:eastAsia="宋体" w:cs="宋体"/>
          <w:bCs/>
          <w:sz w:val="28"/>
          <w:szCs w:val="28"/>
        </w:rPr>
        <w:t>改进建议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_Toc6374 \h </w:instrText>
      </w:r>
      <w:r>
        <w:rPr>
          <w:rFonts w:hint="eastAsia" w:ascii="宋体" w:hAnsi="宋体" w:eastAsia="宋体" w:cs="宋体"/>
          <w:sz w:val="28"/>
          <w:szCs w:val="28"/>
        </w:rPr>
        <w:fldChar w:fldCharType="separate"/>
      </w:r>
      <w:r>
        <w:rPr>
          <w:rFonts w:hint="eastAsia" w:ascii="宋体" w:hAnsi="宋体" w:eastAsia="宋体" w:cs="宋体"/>
          <w:sz w:val="28"/>
          <w:szCs w:val="28"/>
        </w:rPr>
        <w:t>72</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_Toc23761 </w:instrText>
      </w:r>
      <w:r>
        <w:rPr>
          <w:rFonts w:hint="eastAsia" w:ascii="宋体" w:hAnsi="宋体" w:eastAsia="宋体" w:cs="宋体"/>
          <w:bCs/>
          <w:sz w:val="28"/>
          <w:szCs w:val="28"/>
          <w:lang w:val="zh-CN"/>
        </w:rPr>
        <w:fldChar w:fldCharType="separate"/>
      </w:r>
      <w:r>
        <w:rPr>
          <w:rFonts w:hint="eastAsia" w:ascii="宋体" w:hAnsi="宋体" w:eastAsia="宋体" w:cs="宋体"/>
          <w:bCs/>
          <w:sz w:val="28"/>
          <w:szCs w:val="28"/>
          <w:lang w:val="en-US" w:eastAsia="zh-CN"/>
        </w:rPr>
        <w:t>8</w:t>
      </w:r>
      <w:r>
        <w:rPr>
          <w:rFonts w:hint="eastAsia" w:ascii="宋体" w:hAnsi="宋体" w:eastAsia="宋体" w:cs="宋体"/>
          <w:bCs/>
          <w:sz w:val="28"/>
          <w:szCs w:val="28"/>
        </w:rPr>
        <w:t>.</w:t>
      </w:r>
      <w:r>
        <w:rPr>
          <w:rFonts w:hint="eastAsia" w:ascii="宋体" w:hAnsi="宋体" w:eastAsia="宋体" w:cs="宋体"/>
          <w:bCs/>
          <w:sz w:val="28"/>
          <w:szCs w:val="28"/>
          <w:lang w:val="en-US" w:eastAsia="zh-CN"/>
        </w:rPr>
        <w:t>3</w:t>
      </w:r>
      <w:r>
        <w:rPr>
          <w:rFonts w:hint="eastAsia" w:ascii="宋体" w:hAnsi="宋体" w:eastAsia="宋体" w:cs="宋体"/>
          <w:bCs/>
          <w:kern w:val="0"/>
          <w:sz w:val="28"/>
          <w:szCs w:val="28"/>
        </w:rPr>
        <w:t>该企业</w:t>
      </w:r>
      <w:r>
        <w:rPr>
          <w:rFonts w:hint="eastAsia" w:ascii="宋体" w:hAnsi="宋体" w:eastAsia="宋体" w:cs="宋体"/>
          <w:bCs/>
          <w:sz w:val="28"/>
          <w:szCs w:val="28"/>
        </w:rPr>
        <w:t>项目存在的事故隐患及整改问题</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_Toc23761 \h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3"/>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_Toc23966 </w:instrText>
      </w:r>
      <w:r>
        <w:rPr>
          <w:rFonts w:hint="eastAsia" w:ascii="宋体" w:hAnsi="宋体" w:eastAsia="宋体" w:cs="宋体"/>
          <w:bCs/>
          <w:sz w:val="28"/>
          <w:szCs w:val="28"/>
          <w:lang w:val="zh-CN"/>
        </w:rPr>
        <w:fldChar w:fldCharType="separate"/>
      </w:r>
      <w:r>
        <w:rPr>
          <w:rFonts w:hint="eastAsia" w:ascii="宋体" w:hAnsi="宋体" w:eastAsia="宋体" w:cs="宋体"/>
          <w:bCs/>
          <w:sz w:val="28"/>
          <w:szCs w:val="28"/>
          <w:lang w:val="en-US" w:eastAsia="zh-CN"/>
        </w:rPr>
        <w:t>8</w:t>
      </w:r>
      <w:r>
        <w:rPr>
          <w:rFonts w:hint="eastAsia" w:ascii="宋体" w:hAnsi="宋体" w:eastAsia="宋体" w:cs="宋体"/>
          <w:bCs/>
          <w:sz w:val="28"/>
          <w:szCs w:val="28"/>
        </w:rPr>
        <w:t>.4</w:t>
      </w:r>
      <w:r>
        <w:rPr>
          <w:rFonts w:hint="eastAsia" w:ascii="宋体" w:hAnsi="宋体" w:eastAsia="宋体" w:cs="宋体"/>
          <w:bCs/>
          <w:kern w:val="0"/>
          <w:sz w:val="28"/>
          <w:szCs w:val="28"/>
        </w:rPr>
        <w:t>该企业</w:t>
      </w:r>
      <w:r>
        <w:rPr>
          <w:rFonts w:hint="eastAsia" w:ascii="宋体" w:hAnsi="宋体" w:eastAsia="宋体" w:cs="宋体"/>
          <w:bCs/>
          <w:sz w:val="28"/>
          <w:szCs w:val="28"/>
        </w:rPr>
        <w:t>项目存在问题及整改情况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_Toc23966 \h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1"/>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_Toc29051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lang w:val="en-US" w:eastAsia="zh-CN"/>
        </w:rPr>
        <w:t>9</w:t>
      </w:r>
      <w:r>
        <w:rPr>
          <w:rFonts w:hint="eastAsia" w:ascii="宋体" w:hAnsi="宋体" w:eastAsia="宋体" w:cs="宋体"/>
          <w:sz w:val="28"/>
          <w:szCs w:val="28"/>
        </w:rPr>
        <w:t>评价结论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_Toc29051 \h </w:instrText>
      </w:r>
      <w:r>
        <w:rPr>
          <w:rFonts w:hint="eastAsia" w:ascii="宋体" w:hAnsi="宋体" w:eastAsia="宋体" w:cs="宋体"/>
          <w:sz w:val="28"/>
          <w:szCs w:val="28"/>
        </w:rPr>
        <w:fldChar w:fldCharType="separate"/>
      </w:r>
      <w:r>
        <w:rPr>
          <w:rFonts w:hint="eastAsia" w:ascii="宋体" w:hAnsi="宋体" w:eastAsia="宋体" w:cs="宋体"/>
          <w:sz w:val="28"/>
          <w:szCs w:val="28"/>
        </w:rPr>
        <w:t>75</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1"/>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_Toc16196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附件目录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_Toc16196 \h </w:instrText>
      </w:r>
      <w:r>
        <w:rPr>
          <w:rFonts w:hint="eastAsia" w:ascii="宋体" w:hAnsi="宋体" w:eastAsia="宋体" w:cs="宋体"/>
          <w:sz w:val="28"/>
          <w:szCs w:val="28"/>
        </w:rPr>
        <w:fldChar w:fldCharType="separate"/>
      </w:r>
      <w:r>
        <w:rPr>
          <w:rFonts w:hint="eastAsia" w:ascii="宋体" w:hAnsi="宋体" w:eastAsia="宋体" w:cs="宋体"/>
          <w:sz w:val="28"/>
          <w:szCs w:val="28"/>
        </w:rPr>
        <w:t>77</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Style w:val="21"/>
        <w:pageBreakBefore w:val="0"/>
        <w:tabs>
          <w:tab w:val="right" w:leader="dot" w:pos="9072"/>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bCs/>
          <w:color w:val="auto"/>
          <w:sz w:val="28"/>
          <w:szCs w:val="28"/>
          <w:lang w:val="zh-CN"/>
        </w:rPr>
        <w:fldChar w:fldCharType="begin"/>
      </w:r>
      <w:r>
        <w:rPr>
          <w:rFonts w:hint="eastAsia" w:ascii="宋体" w:hAnsi="宋体" w:eastAsia="宋体" w:cs="宋体"/>
          <w:bCs/>
          <w:sz w:val="28"/>
          <w:szCs w:val="28"/>
          <w:lang w:val="zh-CN"/>
        </w:rPr>
        <w:instrText xml:space="preserve"> HYPERLINK \l _Toc5434 </w:instrText>
      </w:r>
      <w:r>
        <w:rPr>
          <w:rFonts w:hint="eastAsia" w:ascii="宋体" w:hAnsi="宋体" w:eastAsia="宋体" w:cs="宋体"/>
          <w:bCs/>
          <w:sz w:val="28"/>
          <w:szCs w:val="28"/>
          <w:lang w:val="zh-CN"/>
        </w:rPr>
        <w:fldChar w:fldCharType="separate"/>
      </w:r>
      <w:r>
        <w:rPr>
          <w:rFonts w:hint="eastAsia" w:ascii="宋体" w:hAnsi="宋体" w:eastAsia="宋体" w:cs="宋体"/>
          <w:bCs w:val="0"/>
          <w:kern w:val="2"/>
          <w:sz w:val="28"/>
          <w:szCs w:val="28"/>
        </w:rPr>
        <w:t>附件一：企业涉及的危险化学品理化性质及危险特性表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_Toc5434 \h </w:instrText>
      </w:r>
      <w:r>
        <w:rPr>
          <w:rFonts w:hint="eastAsia" w:ascii="宋体" w:hAnsi="宋体" w:eastAsia="宋体" w:cs="宋体"/>
          <w:sz w:val="28"/>
          <w:szCs w:val="28"/>
        </w:rPr>
        <w:fldChar w:fldCharType="separate"/>
      </w:r>
      <w:r>
        <w:rPr>
          <w:rFonts w:hint="eastAsia" w:ascii="宋体" w:hAnsi="宋体" w:eastAsia="宋体" w:cs="宋体"/>
          <w:sz w:val="28"/>
          <w:szCs w:val="28"/>
        </w:rPr>
        <w:t>78</w:t>
      </w:r>
      <w:r>
        <w:rPr>
          <w:rFonts w:hint="eastAsia" w:ascii="宋体" w:hAnsi="宋体" w:eastAsia="宋体" w:cs="宋体"/>
          <w:sz w:val="28"/>
          <w:szCs w:val="28"/>
        </w:rPr>
        <w:fldChar w:fldCharType="end"/>
      </w:r>
      <w:r>
        <w:rPr>
          <w:rFonts w:hint="eastAsia" w:ascii="宋体" w:hAnsi="宋体" w:eastAsia="宋体" w:cs="宋体"/>
          <w:bCs/>
          <w:color w:val="auto"/>
          <w:sz w:val="28"/>
          <w:szCs w:val="28"/>
          <w:lang w:val="zh-CN"/>
        </w:rPr>
        <w:fldChar w:fldCharType="end"/>
      </w:r>
    </w:p>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color w:val="auto"/>
          <w:sz w:val="32"/>
          <w:szCs w:val="32"/>
          <w:lang w:val="zh-CN"/>
        </w:rPr>
        <w:sectPr>
          <w:pgSz w:w="11906" w:h="16838"/>
          <w:pgMar w:top="1417" w:right="1417" w:bottom="1417" w:left="1417" w:header="851" w:footer="992" w:gutter="0"/>
          <w:pgNumType w:fmt="upperRoman"/>
          <w:cols w:space="720" w:num="1"/>
          <w:docGrid w:type="lines" w:linePitch="312" w:charSpace="0"/>
        </w:sectPr>
      </w:pPr>
      <w:r>
        <w:rPr>
          <w:rFonts w:hint="eastAsia" w:ascii="宋体" w:hAnsi="宋体" w:eastAsia="宋体" w:cs="宋体"/>
          <w:bCs/>
          <w:color w:val="auto"/>
          <w:sz w:val="28"/>
          <w:szCs w:val="28"/>
          <w:lang w:val="zh-CN"/>
        </w:rPr>
        <w:fldChar w:fldCharType="end"/>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sz w:val="32"/>
          <w:szCs w:val="32"/>
        </w:rPr>
      </w:pPr>
      <w:r>
        <w:rPr>
          <w:rFonts w:hint="eastAsia" w:ascii="宋体" w:hAnsi="宋体" w:eastAsia="宋体" w:cs="宋体"/>
          <w:b/>
          <w:bCs/>
          <w:color w:val="auto"/>
          <w:sz w:val="32"/>
          <w:szCs w:val="32"/>
          <w:lang w:val="zh-CN"/>
        </w:rPr>
        <w:t>江西兆驰半导体有限公司（氨水回收装置）安全现状评价报告</w:t>
      </w:r>
    </w:p>
    <w:p>
      <w:pPr>
        <w:pStyle w:val="6"/>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rPr>
      </w:pPr>
      <w:bookmarkStart w:id="14" w:name="_Toc13470"/>
      <w:bookmarkStart w:id="15" w:name="_Toc10305"/>
      <w:bookmarkStart w:id="16" w:name="_Toc2275"/>
      <w:r>
        <w:rPr>
          <w:rFonts w:hint="eastAsia" w:ascii="宋体" w:hAnsi="宋体" w:eastAsia="宋体" w:cs="宋体"/>
          <w:color w:val="auto"/>
        </w:rPr>
        <w:t>1、评价概述</w:t>
      </w:r>
      <w:bookmarkEnd w:id="11"/>
      <w:bookmarkEnd w:id="12"/>
      <w:bookmarkEnd w:id="13"/>
      <w:bookmarkEnd w:id="14"/>
      <w:bookmarkEnd w:id="15"/>
      <w:bookmarkEnd w:id="16"/>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17" w:name="_Toc5304"/>
      <w:bookmarkStart w:id="18" w:name="_Toc8714"/>
      <w:bookmarkStart w:id="19" w:name="_Toc6727"/>
      <w:bookmarkStart w:id="20" w:name="_Toc1985"/>
      <w:bookmarkStart w:id="21" w:name="_Toc15406"/>
      <w:bookmarkStart w:id="22" w:name="_Toc10106"/>
      <w:bookmarkStart w:id="23" w:name="_Toc11274"/>
      <w:bookmarkStart w:id="24" w:name="_Toc12854"/>
      <w:r>
        <w:rPr>
          <w:rFonts w:hint="eastAsia" w:ascii="宋体" w:hAnsi="宋体" w:eastAsia="宋体" w:cs="宋体"/>
          <w:color w:val="auto"/>
          <w:sz w:val="30"/>
          <w:szCs w:val="30"/>
        </w:rPr>
        <w:t>1.1评价目的</w:t>
      </w:r>
      <w:bookmarkEnd w:id="17"/>
      <w:bookmarkEnd w:id="18"/>
      <w:bookmarkEnd w:id="19"/>
      <w:bookmarkEnd w:id="20"/>
      <w:bookmarkEnd w:id="21"/>
      <w:bookmarkEnd w:id="22"/>
      <w:bookmarkEnd w:id="23"/>
      <w:bookmarkEnd w:id="24"/>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 xml:space="preserve"> 1）为了严格规范安全生产条件，进一步加强安全生产监督管理，防止和减少生产安全事故，根据《中华人民共和国安全生产法》、《危险化学品经营许可证管理办法》等相关法律、法规要求，应按国家规定进行安全评价。依法进行安全评价是企业</w:t>
      </w:r>
      <w:r>
        <w:rPr>
          <w:rFonts w:hint="eastAsia" w:ascii="宋体" w:hAnsi="宋体" w:eastAsia="宋体" w:cs="宋体"/>
          <w:color w:val="auto"/>
          <w:szCs w:val="28"/>
        </w:rPr>
        <w:t>危险化学品经营许可证</w:t>
      </w:r>
      <w:r>
        <w:rPr>
          <w:rFonts w:hint="eastAsia" w:ascii="宋体" w:hAnsi="宋体" w:eastAsia="宋体" w:cs="宋体"/>
          <w:color w:val="auto"/>
        </w:rPr>
        <w:t>取得的必备条件之一。</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2）找出本装置运行中存在的主要危险、有害因素、预测可能产生的危险、危害后果。</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3）对装置运行过程中固有危险、有害因素进行定性、定量的评价和科学分析，对其控制手段进行评价，同时评价其安全等级并估算危险源火灾、爆炸或泄露事故可能造成的事故后果。</w:t>
      </w:r>
    </w:p>
    <w:p>
      <w:pPr>
        <w:pageBreakBefore w:val="0"/>
        <w:widowControl w:val="0"/>
        <w:kinsoku/>
        <w:wordWrap/>
        <w:overflowPunct/>
        <w:topLinePunct w:val="0"/>
        <w:autoSpaceDE/>
        <w:autoSpaceDN/>
        <w:bidi w:val="0"/>
        <w:adjustRightInd/>
        <w:snapToGrid/>
        <w:spacing w:line="600" w:lineRule="exact"/>
        <w:ind w:firstLine="280" w:firstLineChars="100"/>
        <w:textAlignment w:val="auto"/>
        <w:rPr>
          <w:rFonts w:hint="eastAsia" w:ascii="宋体" w:hAnsi="宋体" w:eastAsia="宋体" w:cs="宋体"/>
          <w:color w:val="auto"/>
        </w:rPr>
      </w:pPr>
      <w:r>
        <w:rPr>
          <w:rFonts w:hint="eastAsia" w:ascii="宋体" w:hAnsi="宋体" w:eastAsia="宋体" w:cs="宋体"/>
          <w:color w:val="auto"/>
        </w:rPr>
        <w:t>（4）提出消除、预防或降低装置危险性、提高装置安全运行等级的安全卫生对策措施，为装置的生产运行及日常管理提供指导，并为有关安全监管部门实行安全监察提供依据。</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25" w:name="_Toc14389"/>
      <w:bookmarkStart w:id="26" w:name="_Toc5382"/>
      <w:bookmarkStart w:id="27" w:name="_Toc32381"/>
      <w:bookmarkStart w:id="28" w:name="_Toc22517"/>
      <w:bookmarkStart w:id="29" w:name="_Toc32331"/>
      <w:bookmarkStart w:id="30" w:name="_Toc15873"/>
      <w:bookmarkStart w:id="31" w:name="_Toc30842"/>
      <w:bookmarkStart w:id="32" w:name="_Toc30435"/>
      <w:bookmarkStart w:id="33" w:name="_Toc9851"/>
      <w:r>
        <w:rPr>
          <w:rFonts w:hint="eastAsia" w:ascii="宋体" w:hAnsi="宋体" w:eastAsia="宋体" w:cs="宋体"/>
          <w:color w:val="auto"/>
          <w:sz w:val="30"/>
          <w:szCs w:val="30"/>
        </w:rPr>
        <w:t>1.2评价原则</w:t>
      </w:r>
      <w:bookmarkEnd w:id="25"/>
      <w:bookmarkEnd w:id="26"/>
      <w:bookmarkEnd w:id="27"/>
      <w:bookmarkEnd w:id="28"/>
      <w:bookmarkEnd w:id="29"/>
      <w:bookmarkEnd w:id="30"/>
      <w:bookmarkEnd w:id="31"/>
      <w:bookmarkEnd w:id="32"/>
      <w:bookmarkEnd w:id="33"/>
    </w:p>
    <w:p>
      <w:pPr>
        <w:pageBreakBefore w:val="0"/>
        <w:widowControl w:val="0"/>
        <w:kinsoku/>
        <w:wordWrap/>
        <w:overflowPunct/>
        <w:topLinePunct w:val="0"/>
        <w:autoSpaceDE/>
        <w:autoSpaceDN/>
        <w:bidi w:val="0"/>
        <w:adjustRightInd/>
        <w:snapToGrid/>
        <w:spacing w:line="600" w:lineRule="exact"/>
        <w:jc w:val="left"/>
        <w:textAlignment w:val="auto"/>
        <w:rPr>
          <w:rFonts w:hint="eastAsia" w:ascii="宋体" w:hAnsi="宋体" w:eastAsia="宋体" w:cs="宋体"/>
          <w:b/>
          <w:color w:val="auto"/>
          <w:szCs w:val="28"/>
        </w:rPr>
      </w:pPr>
      <w:r>
        <w:rPr>
          <w:rFonts w:hint="eastAsia" w:ascii="宋体" w:hAnsi="宋体" w:eastAsia="宋体" w:cs="宋体"/>
          <w:color w:val="auto"/>
        </w:rPr>
        <w:t xml:space="preserve"> </w:t>
      </w:r>
      <w:r>
        <w:rPr>
          <w:rFonts w:hint="eastAsia" w:ascii="宋体" w:hAnsi="宋体" w:eastAsia="宋体" w:cs="宋体"/>
          <w:color w:val="auto"/>
          <w:szCs w:val="28"/>
        </w:rPr>
        <w:t xml:space="preserve">  本次对</w:t>
      </w:r>
      <w:r>
        <w:rPr>
          <w:rFonts w:hint="eastAsia" w:ascii="宋体" w:hAnsi="宋体" w:eastAsia="宋体" w:cs="宋体"/>
          <w:color w:val="auto"/>
          <w:szCs w:val="28"/>
          <w:lang w:val="zh-CN"/>
        </w:rPr>
        <w:t>江西兆驰半导体有限公司（氨水回收装置）</w:t>
      </w:r>
      <w:r>
        <w:rPr>
          <w:rFonts w:hint="eastAsia" w:ascii="宋体" w:hAnsi="宋体" w:eastAsia="宋体" w:cs="宋体"/>
          <w:color w:val="auto"/>
          <w:szCs w:val="28"/>
        </w:rPr>
        <w:t>的安全现状评价所遵循的原则是：</w:t>
      </w:r>
      <w:r>
        <w:rPr>
          <w:rFonts w:hint="eastAsia" w:ascii="宋体" w:hAnsi="宋体" w:eastAsia="宋体" w:cs="宋体"/>
          <w:b/>
          <w:color w:val="auto"/>
          <w:szCs w:val="28"/>
        </w:rPr>
        <w:t xml:space="preserve"> </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 xml:space="preserve">    （1）认真贯彻国家现行安全生产法律、法规，严格执行国家标准与规范，力求评价的科学性与公正性。</w:t>
      </w:r>
    </w:p>
    <w:p>
      <w:pPr>
        <w:pageBreakBefore w:val="0"/>
        <w:widowControl w:val="0"/>
        <w:kinsoku/>
        <w:wordWrap/>
        <w:overflowPunct/>
        <w:topLinePunct w:val="0"/>
        <w:autoSpaceDE/>
        <w:autoSpaceDN/>
        <w:bidi w:val="0"/>
        <w:adjustRightInd/>
        <w:snapToGrid/>
        <w:spacing w:line="600" w:lineRule="exact"/>
        <w:ind w:firstLine="560"/>
        <w:textAlignment w:val="auto"/>
        <w:rPr>
          <w:rFonts w:hint="eastAsia" w:ascii="宋体" w:hAnsi="宋体" w:eastAsia="宋体" w:cs="宋体"/>
          <w:color w:val="auto"/>
          <w:szCs w:val="28"/>
        </w:rPr>
      </w:pPr>
      <w:r>
        <w:rPr>
          <w:rFonts w:hint="eastAsia" w:ascii="宋体" w:hAnsi="宋体" w:eastAsia="宋体" w:cs="宋体"/>
          <w:color w:val="auto"/>
          <w:szCs w:val="28"/>
        </w:rPr>
        <w:t>（2） 采用科学、适用的评价技术方法，力求使评价结论客观，符合该项目的生产实际。</w:t>
      </w:r>
    </w:p>
    <w:p>
      <w:pPr>
        <w:pageBreakBefore w:val="0"/>
        <w:widowControl w:val="0"/>
        <w:kinsoku/>
        <w:wordWrap/>
        <w:overflowPunct/>
        <w:topLinePunct w:val="0"/>
        <w:autoSpaceDE/>
        <w:autoSpaceDN/>
        <w:bidi w:val="0"/>
        <w:adjustRightInd/>
        <w:snapToGrid/>
        <w:spacing w:line="600" w:lineRule="exact"/>
        <w:ind w:firstLine="560"/>
        <w:textAlignment w:val="auto"/>
        <w:rPr>
          <w:rFonts w:hint="eastAsia" w:ascii="宋体" w:hAnsi="宋体" w:eastAsia="宋体" w:cs="宋体"/>
          <w:color w:val="auto"/>
          <w:szCs w:val="28"/>
        </w:rPr>
      </w:pPr>
      <w:r>
        <w:rPr>
          <w:rFonts w:hint="eastAsia" w:ascii="宋体" w:hAnsi="宋体" w:eastAsia="宋体" w:cs="宋体"/>
          <w:color w:val="auto"/>
          <w:szCs w:val="28"/>
        </w:rPr>
        <w:t>（3） 深入现场，深入实际，充分发挥评价人员和有关专家的专业技术优势，在全面分析危险、有害因素的基础上，提出较为有效的安全对策措施建议。</w:t>
      </w:r>
    </w:p>
    <w:p>
      <w:pPr>
        <w:pageBreakBefore w:val="0"/>
        <w:widowControl w:val="0"/>
        <w:kinsoku/>
        <w:wordWrap/>
        <w:overflowPunct/>
        <w:topLinePunct w:val="0"/>
        <w:autoSpaceDE/>
        <w:autoSpaceDN/>
        <w:bidi w:val="0"/>
        <w:adjustRightInd/>
        <w:snapToGrid/>
        <w:spacing w:line="600" w:lineRule="exact"/>
        <w:ind w:firstLine="560"/>
        <w:textAlignment w:val="auto"/>
        <w:rPr>
          <w:rFonts w:hint="eastAsia" w:ascii="宋体" w:hAnsi="宋体" w:eastAsia="宋体" w:cs="宋体"/>
          <w:color w:val="auto"/>
          <w:szCs w:val="28"/>
        </w:rPr>
      </w:pPr>
      <w:r>
        <w:rPr>
          <w:rFonts w:hint="eastAsia" w:ascii="宋体" w:hAnsi="宋体" w:eastAsia="宋体" w:cs="宋体"/>
          <w:color w:val="auto"/>
          <w:szCs w:val="28"/>
        </w:rPr>
        <w:t>（4） 诚信、负责，为企业服务。</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34" w:name="_Toc15716"/>
      <w:bookmarkStart w:id="35" w:name="_Toc9599"/>
      <w:bookmarkStart w:id="36" w:name="_Toc4191"/>
      <w:r>
        <w:rPr>
          <w:rFonts w:hint="eastAsia" w:ascii="宋体" w:hAnsi="宋体" w:eastAsia="宋体" w:cs="宋体"/>
          <w:color w:val="auto"/>
          <w:sz w:val="30"/>
          <w:szCs w:val="30"/>
        </w:rPr>
        <w:t>1.3安全现状评价主要依据</w:t>
      </w:r>
      <w:bookmarkEnd w:id="34"/>
      <w:bookmarkEnd w:id="35"/>
      <w:bookmarkEnd w:id="36"/>
    </w:p>
    <w:p>
      <w:pPr>
        <w:pStyle w:val="8"/>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Cs w:val="0"/>
          <w:color w:val="auto"/>
          <w:szCs w:val="28"/>
        </w:rPr>
      </w:pPr>
      <w:bookmarkStart w:id="37" w:name="_Toc274377336"/>
      <w:bookmarkStart w:id="38" w:name="_Toc331164101"/>
      <w:bookmarkStart w:id="39" w:name="_Toc32296"/>
      <w:bookmarkStart w:id="40" w:name="_Toc222196270"/>
      <w:bookmarkStart w:id="41" w:name="_Toc354144039"/>
      <w:bookmarkStart w:id="42" w:name="_Toc331690230"/>
      <w:r>
        <w:rPr>
          <w:rFonts w:hint="eastAsia" w:ascii="宋体" w:hAnsi="宋体" w:eastAsia="宋体" w:cs="宋体"/>
          <w:bCs w:val="0"/>
          <w:color w:val="auto"/>
          <w:szCs w:val="28"/>
        </w:rPr>
        <w:t>1.3.1 国家法律、行政法规</w:t>
      </w:r>
      <w:bookmarkEnd w:id="37"/>
      <w:bookmarkEnd w:id="38"/>
      <w:bookmarkEnd w:id="39"/>
      <w:bookmarkEnd w:id="40"/>
      <w:bookmarkEnd w:id="41"/>
      <w:bookmarkEnd w:id="42"/>
      <w:r>
        <w:rPr>
          <w:rFonts w:hint="eastAsia" w:ascii="宋体" w:hAnsi="宋体" w:eastAsia="宋体" w:cs="宋体"/>
          <w:bCs w:val="0"/>
          <w:color w:val="auto"/>
          <w:szCs w:val="28"/>
        </w:rPr>
        <w:t xml:space="preserve"> </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bookmarkStart w:id="43" w:name="_Toc195093286"/>
      <w:bookmarkStart w:id="44" w:name="_Toc11175"/>
      <w:bookmarkStart w:id="45" w:name="_Toc274377337"/>
      <w:bookmarkStart w:id="46" w:name="_Toc354144040"/>
      <w:bookmarkStart w:id="47" w:name="_Toc331690231"/>
      <w:bookmarkStart w:id="48" w:name="_Toc222196271"/>
      <w:bookmarkStart w:id="49" w:name="_Toc331164102"/>
      <w:r>
        <w:rPr>
          <w:rFonts w:hint="eastAsia" w:ascii="宋体" w:hAnsi="宋体" w:eastAsia="宋体" w:cs="宋体"/>
          <w:color w:val="auto"/>
          <w:szCs w:val="28"/>
        </w:rPr>
        <w:t>《中华人民共和国安全生产法》《中华人民共和国安全生产法》（2021年6月10日，中华人民共和国第十三届全国人民代表大会常务委员会第二十九次会议于通过《全国人民代表大会常务委员会关于修改〈中华人民共和国安全生产法〉的决定》，现予公布，自2021年9月1日起施行。）</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《中华人民共和国劳动法》（</w:t>
      </w:r>
      <w:r>
        <w:rPr>
          <w:rFonts w:hint="eastAsia" w:ascii="宋体" w:hAnsi="宋体" w:eastAsia="宋体" w:cs="宋体"/>
          <w:color w:val="auto"/>
          <w:kern w:val="0"/>
          <w:szCs w:val="28"/>
        </w:rPr>
        <w:t>2009年中华人民共和国主席令第28号，2018年12月29日第十三届全国人民代表大会常务委员会第七次会议《关于修改〈中华人民共和国劳动法〉等七部法律的决定》第二次修正</w:t>
      </w:r>
      <w:r>
        <w:rPr>
          <w:rFonts w:hint="eastAsia" w:ascii="宋体" w:hAnsi="宋体" w:eastAsia="宋体" w:cs="宋体"/>
          <w:color w:val="auto"/>
          <w:szCs w:val="28"/>
        </w:rPr>
        <w:t>）</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《中华人民共和国消防法》（2021年4月29日第十三届全国人民代表大会常务委员会第二十八次会议修改）</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《中华人民共和国职业病防治法》（</w:t>
      </w:r>
      <w:r>
        <w:rPr>
          <w:rFonts w:hint="eastAsia" w:ascii="宋体" w:hAnsi="宋体" w:eastAsia="宋体" w:cs="宋体"/>
          <w:color w:val="auto"/>
          <w:kern w:val="0"/>
          <w:szCs w:val="28"/>
        </w:rPr>
        <w:t>2017年中华人民共和国主席令第48号，2018年12月29日第十三届全国人民代表大会常务委员会第七次会议《关于修改〈中华人民共和国劳动法〉等七部法律的决定》第四次修正</w:t>
      </w:r>
      <w:r>
        <w:rPr>
          <w:rFonts w:hint="eastAsia" w:ascii="宋体" w:hAnsi="宋体" w:eastAsia="宋体" w:cs="宋体"/>
          <w:color w:val="auto"/>
          <w:szCs w:val="28"/>
        </w:rPr>
        <w:t>）</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《中华人民共和国突发事件应对法》（中华人民共和国主席令[2007]69号，2007年8月30日第十届全国人民代表大会常务委员会第二十九次会议于通过，自2007年11月1日起施行。）</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中华人民共和国环境保护法》（中华人民共和国主席令[2014]9号，2014年4月24日中华人民共和国第十二届全国人民代表大会常务委员会第八次会议修订通过，现将修订后的&lt;中华人民共和国环境保护法&gt;公布，自2015年1月1日起施行）</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《中华人民共和国特种设备安全法》（中华人民共和国主席令[2013]4号，2013年6月29日中华人民共和国主席令第4号公布，自2014年1月1日起施行）</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《危险化学品安全管理条例2013年修订》（国务院令第591号，自2011年12月1日起施行，中华人民共和国国务院令第645号修订）</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《工伤保险条例》（ 中华人民共和国国务院令第586号）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《劳动保障监察条例》（国务院令第423号，2004年12月1日起施行）</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《使用有毒物品作业场所劳动保护条例》（国务院令第352号，自2002年4月30日起施行）</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《公路安全保护条例》（国务院令第593号，自2011年7月1日起施行）</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《江西省安全生产条例》（江西省第十二届人大常务委员会三十四会议修订）</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《江西省消防条例》</w:t>
      </w:r>
      <w:r>
        <w:rPr>
          <w:rFonts w:hint="eastAsia" w:ascii="宋体" w:hAnsi="宋体" w:eastAsia="宋体" w:cs="宋体"/>
          <w:color w:val="auto"/>
          <w:szCs w:val="28"/>
        </w:rPr>
        <w:t>（</w:t>
      </w:r>
      <w:r>
        <w:rPr>
          <w:rFonts w:hint="eastAsia" w:ascii="宋体" w:hAnsi="宋体" w:eastAsia="宋体" w:cs="宋体"/>
          <w:color w:val="auto"/>
          <w:szCs w:val="28"/>
          <w:lang w:val="en-US" w:eastAsia="zh-CN"/>
        </w:rPr>
        <w:t>2</w:t>
      </w:r>
      <w:r>
        <w:rPr>
          <w:rFonts w:hint="eastAsia" w:ascii="宋体" w:hAnsi="宋体" w:eastAsia="宋体" w:cs="宋体"/>
          <w:color w:val="auto"/>
          <w:szCs w:val="28"/>
        </w:rPr>
        <w:t>018年7月27日江西省第十三届人民代表大会常务委员会第四次会议第五次修正）</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《江西省突发事件应对条例》（江西省第十二届人民代表大会常务委员会公告第10号）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其他相关法律、法规</w:t>
      </w:r>
    </w:p>
    <w:p>
      <w:pPr>
        <w:pStyle w:val="8"/>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Cs w:val="0"/>
          <w:color w:val="auto"/>
          <w:szCs w:val="28"/>
        </w:rPr>
      </w:pPr>
      <w:r>
        <w:rPr>
          <w:rFonts w:hint="eastAsia" w:ascii="宋体" w:hAnsi="宋体" w:eastAsia="宋体" w:cs="宋体"/>
          <w:bCs w:val="0"/>
          <w:color w:val="auto"/>
          <w:szCs w:val="28"/>
        </w:rPr>
        <w:t>1.3.2行政规章、规范性文件</w:t>
      </w:r>
      <w:bookmarkEnd w:id="43"/>
    </w:p>
    <w:p>
      <w:pPr>
        <w:pageBreakBefore w:val="0"/>
        <w:widowControl w:val="0"/>
        <w:kinsoku/>
        <w:wordWrap/>
        <w:overflowPunct/>
        <w:topLinePunct w:val="0"/>
        <w:autoSpaceDE/>
        <w:autoSpaceDN/>
        <w:bidi w:val="0"/>
        <w:adjustRightInd/>
        <w:snapToGrid/>
        <w:spacing w:line="600" w:lineRule="exact"/>
        <w:ind w:firstLine="592" w:firstLineChars="20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《首批重点监管的危险化学品名录的通知》国家安全监管总局安监总管三〔2011〕95号</w:t>
      </w:r>
    </w:p>
    <w:p>
      <w:pPr>
        <w:pageBreakBefore w:val="0"/>
        <w:widowControl w:val="0"/>
        <w:kinsoku/>
        <w:wordWrap/>
        <w:overflowPunct/>
        <w:topLinePunct w:val="0"/>
        <w:autoSpaceDE/>
        <w:autoSpaceDN/>
        <w:bidi w:val="0"/>
        <w:adjustRightInd/>
        <w:snapToGrid/>
        <w:spacing w:line="600" w:lineRule="exact"/>
        <w:ind w:firstLine="592" w:firstLineChars="20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《关于公布首批重点监管的危险化工工艺目录的通知》国家安全监管总局安监总管三〔2009〕116号</w:t>
      </w:r>
    </w:p>
    <w:p>
      <w:pPr>
        <w:pageBreakBefore w:val="0"/>
        <w:widowControl w:val="0"/>
        <w:kinsoku/>
        <w:wordWrap/>
        <w:overflowPunct/>
        <w:topLinePunct w:val="0"/>
        <w:autoSpaceDE/>
        <w:autoSpaceDN/>
        <w:bidi w:val="0"/>
        <w:adjustRightInd/>
        <w:snapToGrid/>
        <w:spacing w:line="600" w:lineRule="exact"/>
        <w:ind w:firstLine="592" w:firstLineChars="20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《国家安全监管总局关于公布首批重点监管的危险化学品名录的通知》国家安全监管总局安监总管三〔2011〕95号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《第二批重点监管的危险化学品名录》 安监总管三（2013）12号</w:t>
      </w:r>
    </w:p>
    <w:p>
      <w:pPr>
        <w:pageBreakBefore w:val="0"/>
        <w:widowControl w:val="0"/>
        <w:kinsoku/>
        <w:wordWrap/>
        <w:overflowPunct/>
        <w:topLinePunct w:val="0"/>
        <w:autoSpaceDE/>
        <w:autoSpaceDN/>
        <w:bidi w:val="0"/>
        <w:adjustRightInd/>
        <w:snapToGrid/>
        <w:spacing w:line="600" w:lineRule="exact"/>
        <w:ind w:firstLine="592" w:firstLineChars="20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《国家安全监管总局办公厅关于印发首批重点监管的危险化学品安全措施和应急处置原则的通知》国家安全监管总局安监总厅管三〔2011〕142号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pacing w:val="8"/>
          <w:szCs w:val="28"/>
        </w:rPr>
      </w:pPr>
      <w:r>
        <w:rPr>
          <w:rFonts w:hint="eastAsia" w:ascii="宋体" w:hAnsi="宋体" w:eastAsia="宋体" w:cs="宋体"/>
          <w:color w:val="auto"/>
          <w:kern w:val="0"/>
          <w:szCs w:val="28"/>
        </w:rPr>
        <w:t>《</w:t>
      </w:r>
      <w:r>
        <w:rPr>
          <w:rFonts w:hint="eastAsia" w:ascii="宋体" w:hAnsi="宋体" w:eastAsia="宋体" w:cs="宋体"/>
          <w:color w:val="auto"/>
          <w:spacing w:val="8"/>
          <w:szCs w:val="28"/>
        </w:rPr>
        <w:t>国家安全监管总局关于公布第二批重点监管危险化工工艺目录和调整首批重点监管危险化工工艺中部分典型工艺的通知》安监总管三〔2013〕3号</w:t>
      </w:r>
    </w:p>
    <w:p>
      <w:pPr>
        <w:pageBreakBefore w:val="0"/>
        <w:widowControl w:val="0"/>
        <w:kinsoku/>
        <w:wordWrap/>
        <w:overflowPunct/>
        <w:topLinePunct w:val="0"/>
        <w:autoSpaceDE/>
        <w:autoSpaceDN/>
        <w:bidi w:val="0"/>
        <w:adjustRightInd/>
        <w:snapToGrid/>
        <w:spacing w:line="600" w:lineRule="exact"/>
        <w:ind w:firstLine="592" w:firstLineChars="200"/>
        <w:textAlignment w:val="auto"/>
        <w:rPr>
          <w:rFonts w:hint="eastAsia" w:ascii="宋体" w:hAnsi="宋体" w:eastAsia="宋体" w:cs="宋体"/>
          <w:color w:val="auto"/>
          <w:spacing w:val="8"/>
          <w:szCs w:val="28"/>
          <w:lang w:val="zh-CN"/>
        </w:rPr>
      </w:pPr>
      <w:r>
        <w:rPr>
          <w:rFonts w:hint="eastAsia" w:ascii="宋体" w:hAnsi="宋体" w:eastAsia="宋体" w:cs="宋体"/>
          <w:color w:val="auto"/>
          <w:spacing w:val="8"/>
          <w:szCs w:val="28"/>
          <w:lang w:val="zh-CN"/>
        </w:rPr>
        <w:t>《特别管控危险化学品目录（第一版）》（应急管理部、工业和信息化部、公安部、交通运输部</w:t>
      </w:r>
      <w:r>
        <w:rPr>
          <w:rFonts w:hint="eastAsia" w:ascii="宋体" w:hAnsi="宋体" w:eastAsia="宋体" w:cs="宋体"/>
          <w:color w:val="auto"/>
          <w:spacing w:val="8"/>
          <w:szCs w:val="28"/>
        </w:rPr>
        <w:t>2020年第1号公告</w:t>
      </w:r>
      <w:r>
        <w:rPr>
          <w:rFonts w:hint="eastAsia" w:ascii="宋体" w:hAnsi="宋体" w:eastAsia="宋体" w:cs="宋体"/>
          <w:color w:val="auto"/>
          <w:spacing w:val="8"/>
          <w:szCs w:val="28"/>
          <w:lang w:val="zh-CN"/>
        </w:rPr>
        <w:t>）</w:t>
      </w:r>
    </w:p>
    <w:p>
      <w:pPr>
        <w:pageBreakBefore w:val="0"/>
        <w:widowControl w:val="0"/>
        <w:kinsoku/>
        <w:wordWrap/>
        <w:overflowPunct/>
        <w:topLinePunct w:val="0"/>
        <w:autoSpaceDE/>
        <w:autoSpaceDN/>
        <w:bidi w:val="0"/>
        <w:adjustRightInd/>
        <w:snapToGrid/>
        <w:spacing w:line="600" w:lineRule="exact"/>
        <w:ind w:firstLine="592" w:firstLineChars="20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《安全生产培训管理办法》国家安监总局令第44号（第80号令修改[2015]）</w:t>
      </w:r>
    </w:p>
    <w:p>
      <w:pPr>
        <w:pageBreakBefore w:val="0"/>
        <w:widowControl w:val="0"/>
        <w:kinsoku/>
        <w:wordWrap/>
        <w:overflowPunct/>
        <w:topLinePunct w:val="0"/>
        <w:autoSpaceDE/>
        <w:autoSpaceDN/>
        <w:bidi w:val="0"/>
        <w:adjustRightInd/>
        <w:snapToGrid/>
        <w:spacing w:line="600" w:lineRule="exact"/>
        <w:ind w:firstLine="592" w:firstLineChars="20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《生产安全事故应急预案管理办法》国家应急部令[2019]第2号令</w:t>
      </w:r>
    </w:p>
    <w:p>
      <w:pPr>
        <w:pageBreakBefore w:val="0"/>
        <w:widowControl w:val="0"/>
        <w:kinsoku/>
        <w:wordWrap/>
        <w:overflowPunct/>
        <w:topLinePunct w:val="0"/>
        <w:autoSpaceDE/>
        <w:autoSpaceDN/>
        <w:bidi w:val="0"/>
        <w:adjustRightInd/>
        <w:snapToGrid/>
        <w:spacing w:line="600" w:lineRule="exact"/>
        <w:ind w:firstLine="560"/>
        <w:textAlignment w:val="auto"/>
        <w:rPr>
          <w:rFonts w:hint="eastAsia" w:ascii="宋体" w:hAnsi="宋体" w:eastAsia="宋体" w:cs="宋体"/>
          <w:color w:val="auto"/>
          <w:szCs w:val="28"/>
        </w:rPr>
      </w:pPr>
      <w:r>
        <w:rPr>
          <w:rFonts w:hint="eastAsia" w:ascii="宋体" w:hAnsi="宋体" w:eastAsia="宋体" w:cs="宋体"/>
          <w:color w:val="auto"/>
          <w:spacing w:val="8"/>
          <w:szCs w:val="28"/>
        </w:rPr>
        <w:t xml:space="preserve">《固定式压力容器安全技术监察规程》   </w:t>
      </w:r>
      <w:r>
        <w:rPr>
          <w:rFonts w:hint="eastAsia" w:ascii="宋体" w:hAnsi="宋体" w:eastAsia="宋体" w:cs="宋体"/>
          <w:color w:val="auto"/>
          <w:szCs w:val="28"/>
        </w:rPr>
        <w:t>TSZ21-2016</w:t>
      </w:r>
    </w:p>
    <w:p>
      <w:pPr>
        <w:pageBreakBefore w:val="0"/>
        <w:widowControl w:val="0"/>
        <w:kinsoku/>
        <w:wordWrap/>
        <w:overflowPunct/>
        <w:topLinePunct w:val="0"/>
        <w:autoSpaceDE/>
        <w:autoSpaceDN/>
        <w:bidi w:val="0"/>
        <w:adjustRightInd/>
        <w:snapToGrid/>
        <w:spacing w:line="600" w:lineRule="exact"/>
        <w:ind w:firstLine="592" w:firstLineChars="20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《安全阀安全技术监察规程》</w:t>
      </w:r>
    </w:p>
    <w:p>
      <w:pPr>
        <w:pageBreakBefore w:val="0"/>
        <w:widowControl w:val="0"/>
        <w:kinsoku/>
        <w:wordWrap/>
        <w:overflowPunct/>
        <w:topLinePunct w:val="0"/>
        <w:autoSpaceDE/>
        <w:autoSpaceDN/>
        <w:bidi w:val="0"/>
        <w:adjustRightInd/>
        <w:snapToGrid/>
        <w:spacing w:line="600" w:lineRule="exact"/>
        <w:ind w:firstLine="592" w:firstLineChars="200"/>
        <w:jc w:val="right"/>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国家质量监督检验检疫总局TSG ZF001-2006</w:t>
      </w:r>
    </w:p>
    <w:p>
      <w:pPr>
        <w:pageBreakBefore w:val="0"/>
        <w:widowControl w:val="0"/>
        <w:kinsoku/>
        <w:wordWrap/>
        <w:overflowPunct/>
        <w:topLinePunct w:val="0"/>
        <w:autoSpaceDE/>
        <w:autoSpaceDN/>
        <w:bidi w:val="0"/>
        <w:adjustRightInd/>
        <w:snapToGrid/>
        <w:spacing w:line="600" w:lineRule="exact"/>
        <w:ind w:firstLine="56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《安全阀安全技术监察规程》（TSG ZF001-2006）第1号修改</w:t>
      </w:r>
    </w:p>
    <w:p>
      <w:pPr>
        <w:pageBreakBefore w:val="0"/>
        <w:widowControl w:val="0"/>
        <w:kinsoku/>
        <w:wordWrap/>
        <w:overflowPunct/>
        <w:topLinePunct w:val="0"/>
        <w:autoSpaceDE/>
        <w:autoSpaceDN/>
        <w:bidi w:val="0"/>
        <w:adjustRightInd/>
        <w:snapToGrid/>
        <w:spacing w:line="600" w:lineRule="exact"/>
        <w:ind w:firstLine="56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《特种作业人员安全技术培训考核管理规定》</w:t>
      </w:r>
    </w:p>
    <w:p>
      <w:pPr>
        <w:pageBreakBefore w:val="0"/>
        <w:widowControl w:val="0"/>
        <w:kinsoku/>
        <w:wordWrap/>
        <w:overflowPunct/>
        <w:topLinePunct w:val="0"/>
        <w:autoSpaceDE/>
        <w:autoSpaceDN/>
        <w:bidi w:val="0"/>
        <w:adjustRightInd/>
        <w:snapToGrid/>
        <w:spacing w:line="600" w:lineRule="exact"/>
        <w:ind w:firstLine="56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国家安全生产监督管理总局令第30号（第80号令修改[2015]）</w:t>
      </w:r>
    </w:p>
    <w:p>
      <w:pPr>
        <w:pageBreakBefore w:val="0"/>
        <w:widowControl w:val="0"/>
        <w:kinsoku/>
        <w:wordWrap/>
        <w:overflowPunct/>
        <w:topLinePunct w:val="0"/>
        <w:autoSpaceDE/>
        <w:autoSpaceDN/>
        <w:bidi w:val="0"/>
        <w:adjustRightInd/>
        <w:snapToGrid/>
        <w:spacing w:line="600" w:lineRule="exact"/>
        <w:ind w:firstLine="56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《&lt;中华人民共和国监控化学品管理条例&gt;实施细则》中华人民共和国工业和信息化部令[2018]第48号</w:t>
      </w:r>
    </w:p>
    <w:p>
      <w:pPr>
        <w:pageBreakBefore w:val="0"/>
        <w:widowControl w:val="0"/>
        <w:kinsoku/>
        <w:wordWrap/>
        <w:overflowPunct/>
        <w:topLinePunct w:val="0"/>
        <w:autoSpaceDE/>
        <w:autoSpaceDN/>
        <w:bidi w:val="0"/>
        <w:adjustRightInd/>
        <w:snapToGrid/>
        <w:spacing w:line="600" w:lineRule="exact"/>
        <w:ind w:firstLine="56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 xml:space="preserve"> 《易制毒化学品管理条例》国务院令[2005]第445号，703号自2018年9月18日修正版</w:t>
      </w:r>
    </w:p>
    <w:p>
      <w:pPr>
        <w:pStyle w:val="13"/>
        <w:pageBreakBefore w:val="0"/>
        <w:widowControl w:val="0"/>
        <w:kinsoku/>
        <w:wordWrap/>
        <w:overflowPunct/>
        <w:topLinePunct w:val="0"/>
        <w:autoSpaceDE/>
        <w:autoSpaceDN/>
        <w:bidi w:val="0"/>
        <w:adjustRightInd/>
        <w:snapToGrid/>
        <w:spacing w:line="600" w:lineRule="exact"/>
        <w:ind w:firstLine="592" w:firstLineChars="20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《危险化学品经营许可证管理办法》经2012年5月21日</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"https://baike.baidu.com/item/%E5%9B%BD%E5%AE%B6%E5%AE%89%E5%85%A8%E7%94%9F%E4%BA%A7%E7%9B%91%E7%9D%A3%E7%AE%A1%E7%90%86%E6%80%BB%E5%B1%80/2852170" \t "https://baike.baidu.com/item/%E5%8D%B1%E9%99%A9%E5%8C%96%E5%AD%A6%E5%93%81%E7%BB%8F%E8%90%A5%E8%AE%B8%E5%8F%AF%E8%AF%81%E7%AE%A1%E7%90%86%E5%8A%9E%E6%B3%95/_blank" </w:instrText>
      </w:r>
      <w:r>
        <w:rPr>
          <w:rFonts w:hint="eastAsia" w:ascii="宋体" w:hAnsi="宋体" w:eastAsia="宋体" w:cs="宋体"/>
          <w:color w:val="auto"/>
        </w:rPr>
        <w:fldChar w:fldCharType="separate"/>
      </w:r>
      <w:r>
        <w:rPr>
          <w:rFonts w:hint="eastAsia" w:ascii="宋体" w:hAnsi="宋体" w:eastAsia="宋体" w:cs="宋体"/>
          <w:color w:val="auto"/>
          <w:spacing w:val="8"/>
          <w:szCs w:val="28"/>
        </w:rPr>
        <w:t>国家安全生产监督管理总局</w:t>
      </w:r>
      <w:r>
        <w:rPr>
          <w:rFonts w:hint="eastAsia" w:ascii="宋体" w:hAnsi="宋体" w:eastAsia="宋体" w:cs="宋体"/>
          <w:color w:val="auto"/>
          <w:spacing w:val="8"/>
          <w:szCs w:val="28"/>
        </w:rPr>
        <w:fldChar w:fldCharType="end"/>
      </w:r>
      <w:r>
        <w:rPr>
          <w:rFonts w:hint="eastAsia" w:ascii="宋体" w:hAnsi="宋体" w:eastAsia="宋体" w:cs="宋体"/>
          <w:color w:val="auto"/>
          <w:spacing w:val="8"/>
          <w:szCs w:val="28"/>
        </w:rPr>
        <w:t>局长办公会议审议通过，2012年7月17日国家安全生产监督管理总局令第55号公布。</w:t>
      </w:r>
    </w:p>
    <w:p>
      <w:pPr>
        <w:pStyle w:val="13"/>
        <w:pageBreakBefore w:val="0"/>
        <w:widowControl w:val="0"/>
        <w:kinsoku/>
        <w:wordWrap/>
        <w:overflowPunct/>
        <w:topLinePunct w:val="0"/>
        <w:autoSpaceDE/>
        <w:autoSpaceDN/>
        <w:bidi w:val="0"/>
        <w:adjustRightInd/>
        <w:snapToGrid/>
        <w:spacing w:line="600" w:lineRule="exact"/>
        <w:ind w:firstLine="592" w:firstLineChars="20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《危险化学品经营单位安全评价导则(试行)》</w:t>
      </w:r>
    </w:p>
    <w:p>
      <w:pPr>
        <w:pStyle w:val="13"/>
        <w:pageBreakBefore w:val="0"/>
        <w:widowControl w:val="0"/>
        <w:kinsoku/>
        <w:wordWrap/>
        <w:overflowPunct/>
        <w:topLinePunct w:val="0"/>
        <w:autoSpaceDE/>
        <w:autoSpaceDN/>
        <w:bidi w:val="0"/>
        <w:adjustRightInd/>
        <w:snapToGrid/>
        <w:spacing w:line="600" w:lineRule="exact"/>
        <w:ind w:firstLine="592" w:firstLineChars="200"/>
        <w:textAlignment w:val="auto"/>
        <w:rPr>
          <w:rFonts w:hint="eastAsia" w:ascii="宋体" w:hAnsi="宋体" w:eastAsia="宋体" w:cs="宋体"/>
          <w:color w:val="auto"/>
          <w:spacing w:val="8"/>
          <w:szCs w:val="28"/>
        </w:rPr>
      </w:pPr>
      <w:r>
        <w:rPr>
          <w:rFonts w:hint="eastAsia" w:ascii="宋体" w:hAnsi="宋体" w:eastAsia="宋体" w:cs="宋体"/>
          <w:color w:val="auto"/>
          <w:spacing w:val="8"/>
          <w:szCs w:val="28"/>
        </w:rPr>
        <w:t>《危险化学品安全管理条例》   2011国务院令第591号，2013国务院令第645号修正</w:t>
      </w:r>
    </w:p>
    <w:p>
      <w:pPr>
        <w:pStyle w:val="8"/>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Cs w:val="0"/>
          <w:color w:val="auto"/>
          <w:szCs w:val="28"/>
        </w:rPr>
      </w:pPr>
      <w:r>
        <w:rPr>
          <w:rFonts w:hint="eastAsia" w:ascii="宋体" w:hAnsi="宋体" w:eastAsia="宋体" w:cs="宋体"/>
          <w:bCs w:val="0"/>
          <w:color w:val="auto"/>
          <w:szCs w:val="28"/>
        </w:rPr>
        <w:t>1.3.3主要规范和标准</w:t>
      </w:r>
    </w:p>
    <w:bookmarkEnd w:id="44"/>
    <w:bookmarkEnd w:id="45"/>
    <w:bookmarkEnd w:id="46"/>
    <w:bookmarkEnd w:id="47"/>
    <w:bookmarkEnd w:id="48"/>
    <w:bookmarkEnd w:id="49"/>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《工业企业设计卫生标准》GBZ1-2010</w:t>
      </w:r>
      <w:bookmarkStart w:id="50" w:name="_Toc245272001"/>
    </w:p>
    <w:bookmarkEnd w:id="50"/>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《防止静电事故通用导则》GB12158-2006</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《生产过程危险和有害因素分类与代码》GB/T13861-2009</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《工业企业总平面设计规范》GB50187-2012</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《工作场所职业病危害警示标志》GBZ158-2003</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《企业职工伤亡事故分类》GB6441-1986</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《危险化学品重大危险源辨识》GB18218-2018</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《建筑设计防火规范》GB50016-2014（2018年版）</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《工业建筑防腐蚀设计</w:t>
      </w:r>
      <w:r>
        <w:rPr>
          <w:rFonts w:hint="eastAsia" w:ascii="宋体" w:hAnsi="宋体" w:eastAsia="宋体" w:cs="宋体"/>
          <w:color w:val="auto"/>
          <w:szCs w:val="28"/>
          <w:lang w:val="en-US" w:eastAsia="zh-CN"/>
        </w:rPr>
        <w:t>标准</w:t>
      </w:r>
      <w:r>
        <w:rPr>
          <w:rFonts w:hint="eastAsia" w:ascii="宋体" w:hAnsi="宋体" w:eastAsia="宋体" w:cs="宋体"/>
          <w:color w:val="auto"/>
          <w:szCs w:val="28"/>
        </w:rPr>
        <w:t>》GB</w:t>
      </w:r>
      <w:r>
        <w:rPr>
          <w:rFonts w:hint="eastAsia" w:ascii="宋体" w:hAnsi="宋体" w:eastAsia="宋体" w:cs="宋体"/>
          <w:color w:val="auto"/>
          <w:szCs w:val="28"/>
          <w:lang w:val="en-US" w:eastAsia="zh-CN"/>
        </w:rPr>
        <w:t>/T</w:t>
      </w:r>
      <w:r>
        <w:rPr>
          <w:rFonts w:hint="eastAsia" w:ascii="宋体" w:hAnsi="宋体" w:eastAsia="宋体" w:cs="宋体"/>
          <w:color w:val="auto"/>
          <w:szCs w:val="28"/>
        </w:rPr>
        <w:t>50046-20</w:t>
      </w:r>
      <w:r>
        <w:rPr>
          <w:rFonts w:hint="eastAsia" w:ascii="宋体" w:hAnsi="宋体" w:eastAsia="宋体" w:cs="宋体"/>
          <w:color w:val="auto"/>
          <w:szCs w:val="28"/>
          <w:lang w:val="en-US" w:eastAsia="zh-CN"/>
        </w:rPr>
        <w:t>1</w:t>
      </w:r>
      <w:r>
        <w:rPr>
          <w:rFonts w:hint="eastAsia" w:ascii="宋体" w:hAnsi="宋体" w:eastAsia="宋体" w:cs="宋体"/>
          <w:color w:val="auto"/>
          <w:szCs w:val="28"/>
        </w:rPr>
        <w:t>8</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lang w:val="en-US" w:eastAsia="zh-CN"/>
        </w:rPr>
      </w:pPr>
      <w:r>
        <w:rPr>
          <w:rFonts w:hint="eastAsia" w:ascii="宋体" w:hAnsi="宋体" w:eastAsia="宋体" w:cs="宋体"/>
          <w:color w:val="auto"/>
          <w:szCs w:val="28"/>
        </w:rPr>
        <w:t>《建筑给水排水设计</w:t>
      </w:r>
      <w:r>
        <w:rPr>
          <w:rFonts w:hint="eastAsia" w:ascii="宋体" w:hAnsi="宋体" w:eastAsia="宋体" w:cs="宋体"/>
          <w:color w:val="auto"/>
          <w:szCs w:val="28"/>
          <w:lang w:val="en-US" w:eastAsia="zh-CN"/>
        </w:rPr>
        <w:t>标准</w:t>
      </w:r>
      <w:r>
        <w:rPr>
          <w:rFonts w:hint="eastAsia" w:ascii="宋体" w:hAnsi="宋体" w:eastAsia="宋体" w:cs="宋体"/>
          <w:color w:val="auto"/>
          <w:szCs w:val="28"/>
        </w:rPr>
        <w:t>》GB50015-20</w:t>
      </w:r>
      <w:r>
        <w:rPr>
          <w:rFonts w:hint="eastAsia" w:ascii="宋体" w:hAnsi="宋体" w:eastAsia="宋体" w:cs="宋体"/>
          <w:color w:val="auto"/>
          <w:szCs w:val="28"/>
          <w:lang w:val="en-US" w:eastAsia="zh-CN"/>
        </w:rPr>
        <w:t>19</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《消防给水及消火栓系统技术规范》GB50974-2014</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《工业循环冷却水处理设计规范》GB</w:t>
      </w:r>
      <w:r>
        <w:rPr>
          <w:rFonts w:hint="eastAsia" w:ascii="宋体" w:hAnsi="宋体" w:eastAsia="宋体" w:cs="宋体"/>
          <w:color w:val="auto"/>
          <w:szCs w:val="28"/>
          <w:lang w:val="en-US" w:eastAsia="zh-CN"/>
        </w:rPr>
        <w:t>/T</w:t>
      </w:r>
      <w:r>
        <w:rPr>
          <w:rFonts w:hint="eastAsia" w:ascii="宋体" w:hAnsi="宋体" w:eastAsia="宋体" w:cs="宋体"/>
          <w:color w:val="auto"/>
          <w:szCs w:val="28"/>
        </w:rPr>
        <w:t>50050-20</w:t>
      </w:r>
      <w:r>
        <w:rPr>
          <w:rFonts w:hint="eastAsia" w:ascii="宋体" w:hAnsi="宋体" w:eastAsia="宋体" w:cs="宋体"/>
          <w:color w:val="auto"/>
          <w:szCs w:val="28"/>
          <w:lang w:val="en-US" w:eastAsia="zh-CN"/>
        </w:rPr>
        <w:t>1</w:t>
      </w:r>
      <w:r>
        <w:rPr>
          <w:rFonts w:hint="eastAsia" w:ascii="宋体" w:hAnsi="宋体" w:eastAsia="宋体" w:cs="宋体"/>
          <w:color w:val="auto"/>
          <w:szCs w:val="28"/>
        </w:rPr>
        <w:t>7</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《建筑物防雷设计规范》GB50057-2010</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lang w:val="en-US" w:eastAsia="zh-CN"/>
        </w:rPr>
      </w:pPr>
      <w:r>
        <w:rPr>
          <w:rFonts w:hint="eastAsia" w:ascii="宋体" w:hAnsi="宋体" w:eastAsia="宋体" w:cs="宋体"/>
          <w:color w:val="auto"/>
          <w:szCs w:val="28"/>
        </w:rPr>
        <w:t>《建筑抗震设计规范》GB50011-201</w:t>
      </w:r>
      <w:r>
        <w:rPr>
          <w:rFonts w:hint="eastAsia" w:ascii="宋体" w:hAnsi="宋体" w:eastAsia="宋体" w:cs="宋体"/>
          <w:color w:val="auto"/>
          <w:szCs w:val="28"/>
          <w:lang w:val="en-US" w:eastAsia="zh-CN"/>
        </w:rPr>
        <w:t>0（2016年版）</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《建筑灭火器配置设计规范》GB50140-2005</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《消防安全标志第1部分：标志》GB13495.1—2015</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《通用用电设备配电设计规范》GB50055-2011</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《20kV及以下变电所设计规范》GB50053-2013</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《电力工程电缆设计规范》GB50217-2007</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《交流电气装置的接地设计规范》GB50065-2011</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《低压配电设计规范》GB50054-2011</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《火灾自动报警系统设计规范》 GB50116-2013</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《爆炸危险环境电力装置设计规范》GB50058-2014</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《系统接地的型式及安全技术要求》GB14050-2008</w:t>
      </w:r>
      <w:bookmarkStart w:id="51" w:name="_Toc221610791"/>
      <w:bookmarkStart w:id="52" w:name="_Toc222196091"/>
      <w:bookmarkStart w:id="53" w:name="_Toc222195900"/>
      <w:bookmarkStart w:id="54" w:name="_Toc222137161"/>
      <w:bookmarkStart w:id="55" w:name="_Toc222196282"/>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《工业企业厂内铁路、道路运输安全规程》GB4387-</w:t>
      </w:r>
      <w:bookmarkEnd w:id="51"/>
      <w:bookmarkEnd w:id="52"/>
      <w:bookmarkEnd w:id="53"/>
      <w:bookmarkEnd w:id="54"/>
      <w:bookmarkEnd w:id="55"/>
      <w:r>
        <w:rPr>
          <w:rFonts w:hint="eastAsia" w:ascii="宋体" w:hAnsi="宋体" w:eastAsia="宋体" w:cs="宋体"/>
          <w:color w:val="auto"/>
          <w:szCs w:val="28"/>
        </w:rPr>
        <w:t>2008</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《职业性接触毒物危害程度分级》GBZ230-2010</w:t>
      </w:r>
    </w:p>
    <w:p>
      <w:pPr>
        <w:pStyle w:val="12"/>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《易燃易爆性商品储藏养护技术条件》（GB17914-1999）</w:t>
      </w:r>
    </w:p>
    <w:p>
      <w:pPr>
        <w:pStyle w:val="12"/>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《腐蚀性商品储藏养护技术条件》（GB17915-1999）</w:t>
      </w:r>
    </w:p>
    <w:p>
      <w:pPr>
        <w:pStyle w:val="12"/>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《毒害性商品储藏养护技术条件》（GB17916-1999）</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《工业企业噪声控制设计规范》GB/T50087-2013</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《建筑采光设计标准》GB50033-2013</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《建筑照明设计标准》GB50034-2013</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《石油化工可燃气体和有毒气体检测报警设计标准》GB</w:t>
      </w:r>
      <w:r>
        <w:rPr>
          <w:rFonts w:hint="eastAsia" w:ascii="宋体" w:hAnsi="宋体" w:eastAsia="宋体" w:cs="宋体"/>
          <w:color w:val="auto"/>
          <w:szCs w:val="28"/>
          <w:lang w:val="en-US" w:eastAsia="zh-CN"/>
        </w:rPr>
        <w:t>/T</w:t>
      </w:r>
      <w:r>
        <w:rPr>
          <w:rFonts w:hint="eastAsia" w:ascii="宋体" w:hAnsi="宋体" w:eastAsia="宋体" w:cs="宋体"/>
          <w:color w:val="auto"/>
          <w:szCs w:val="28"/>
        </w:rPr>
        <w:t>50493-2019</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《固定式压力容器安全技术监察规程》TSG</w:t>
      </w:r>
      <w:r>
        <w:rPr>
          <w:rFonts w:hint="eastAsia" w:ascii="宋体" w:hAnsi="宋体" w:eastAsia="宋体" w:cs="宋体"/>
          <w:color w:val="auto"/>
          <w:szCs w:val="28"/>
          <w:lang w:val="en-US" w:eastAsia="zh-CN"/>
        </w:rPr>
        <w:t xml:space="preserve"> </w:t>
      </w:r>
      <w:r>
        <w:rPr>
          <w:rFonts w:hint="eastAsia" w:ascii="宋体" w:hAnsi="宋体" w:eastAsia="宋体" w:cs="宋体"/>
          <w:color w:val="auto"/>
          <w:szCs w:val="28"/>
        </w:rPr>
        <w:t>21-2016</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《安全色》GB2893-2008</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《安全标志及其使用导则》GB2894-2008</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《工业电视系统工程设计规范》GB50115-2009</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《自动化仪表选型设计规定》HG/T20507-2014</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《仪表供电设计规定》HG/T20509-2014</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《仪表系统接地设计规定》HG/T20513-2014</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《信号报警、安全联锁系统设计规定》HG/T20511-2014</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《危险化学品生产单位主要负责人安全生产培训大纲及考核标准》 AQ/T 3029-2010</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《化工企业定量风险评价导则》AQ/T 3046-2013</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《危险化学品生产单位安全生产管理人员安全生产培训大纲及考核标准》AQ/T 3030-2010</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《安全评价通则》AQ8001-2007</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《生产经营单位生产安全事故应急预案编制导则》GB/T29639-2020</w:t>
      </w:r>
    </w:p>
    <w:p>
      <w:pPr>
        <w:pStyle w:val="8"/>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Cs w:val="0"/>
          <w:color w:val="auto"/>
          <w:szCs w:val="28"/>
        </w:rPr>
      </w:pPr>
      <w:r>
        <w:rPr>
          <w:rFonts w:hint="eastAsia" w:ascii="宋体" w:hAnsi="宋体" w:eastAsia="宋体" w:cs="宋体"/>
          <w:bCs w:val="0"/>
          <w:color w:val="auto"/>
          <w:szCs w:val="28"/>
        </w:rPr>
        <w:t>1.3.4评价委托书和技术文件</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企业营业执照</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 xml:space="preserve">租赁意向书  </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建设工程消防验收意见书</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防雷装置检测检验报告</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napToGrid w:val="0"/>
          <w:color w:val="auto"/>
          <w:kern w:val="0"/>
          <w:szCs w:val="28"/>
        </w:rPr>
      </w:pPr>
      <w:r>
        <w:rPr>
          <w:rFonts w:hint="eastAsia" w:ascii="宋体" w:hAnsi="宋体" w:eastAsia="宋体" w:cs="宋体"/>
          <w:color w:val="auto"/>
          <w:szCs w:val="28"/>
        </w:rPr>
        <w:t>安全阀、压力表校验报告</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企业安全、消防组织机构、安全生产管理制度、安全技术操作规程、事故应急救援预案及安全管理人员、特种作业人员安全技术培训证书复印件、总平面布置竣工图等。</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56" w:name="_Toc274377340"/>
      <w:bookmarkStart w:id="57" w:name="_Toc342424330"/>
      <w:bookmarkStart w:id="58" w:name="_Toc31947"/>
      <w:bookmarkStart w:id="59" w:name="_Toc29082"/>
      <w:bookmarkStart w:id="60" w:name="_Toc19564"/>
      <w:bookmarkStart w:id="61" w:name="_Toc222196283"/>
      <w:bookmarkStart w:id="62" w:name="_Toc14132"/>
      <w:bookmarkStart w:id="63" w:name="_Toc30795"/>
      <w:r>
        <w:rPr>
          <w:rFonts w:hint="eastAsia" w:ascii="宋体" w:hAnsi="宋体" w:eastAsia="宋体" w:cs="宋体"/>
          <w:color w:val="auto"/>
          <w:sz w:val="30"/>
          <w:szCs w:val="30"/>
        </w:rPr>
        <w:t>1.4安全现状评价范围</w:t>
      </w:r>
      <w:bookmarkEnd w:id="56"/>
      <w:bookmarkEnd w:id="57"/>
      <w:bookmarkEnd w:id="58"/>
      <w:bookmarkEnd w:id="59"/>
      <w:bookmarkEnd w:id="60"/>
      <w:bookmarkEnd w:id="61"/>
      <w:bookmarkEnd w:id="62"/>
      <w:bookmarkEnd w:id="63"/>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szCs w:val="28"/>
        </w:rPr>
        <w:t>本次评价范围为</w:t>
      </w:r>
      <w:r>
        <w:rPr>
          <w:rFonts w:hint="eastAsia" w:ascii="宋体" w:hAnsi="宋体" w:eastAsia="宋体" w:cs="宋体"/>
          <w:color w:val="auto"/>
          <w:szCs w:val="28"/>
          <w:lang w:val="zh-CN"/>
        </w:rPr>
        <w:t>江西兆驰半导体有限公司（氨水回收装置）</w:t>
      </w:r>
      <w:r>
        <w:rPr>
          <w:rFonts w:hint="eastAsia" w:ascii="宋体" w:hAnsi="宋体" w:eastAsia="宋体" w:cs="宋体"/>
          <w:color w:val="auto"/>
          <w:szCs w:val="28"/>
        </w:rPr>
        <w:t>的设施、设备以及储存、经营场所</w:t>
      </w:r>
      <w:r>
        <w:rPr>
          <w:rFonts w:hint="eastAsia" w:ascii="宋体" w:hAnsi="宋体" w:eastAsia="宋体" w:cs="宋体"/>
          <w:color w:val="auto"/>
        </w:rPr>
        <w:t>所涉及到的安全生产问题。具体范围如下：</w:t>
      </w:r>
    </w:p>
    <w:p>
      <w:pPr>
        <w:pStyle w:val="12"/>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包括：101</w:t>
      </w:r>
      <w:r>
        <w:rPr>
          <w:rFonts w:hint="eastAsia" w:ascii="宋体" w:hAnsi="宋体" w:eastAsia="宋体" w:cs="宋体"/>
          <w:color w:val="auto"/>
        </w:rPr>
        <w:t>外延芯片厂房</w:t>
      </w:r>
      <w:r>
        <w:rPr>
          <w:rFonts w:hint="eastAsia" w:ascii="宋体" w:hAnsi="宋体" w:eastAsia="宋体" w:cs="宋体"/>
          <w:color w:val="auto"/>
        </w:rPr>
        <w:t>的氨水回收装置</w:t>
      </w:r>
      <w:r>
        <w:rPr>
          <w:rFonts w:hint="eastAsia" w:ascii="宋体" w:hAnsi="宋体" w:eastAsia="宋体" w:cs="宋体"/>
          <w:color w:val="auto"/>
          <w:lang w:eastAsia="zh-CN"/>
        </w:rPr>
        <w:t>（</w:t>
      </w:r>
      <w:r>
        <w:rPr>
          <w:rFonts w:hint="eastAsia" w:ascii="宋体" w:hAnsi="宋体" w:eastAsia="宋体" w:cs="宋体"/>
          <w:color w:val="auto"/>
          <w:lang w:val="en-US" w:eastAsia="zh-CN"/>
        </w:rPr>
        <w:t>起：集气管道收集</w:t>
      </w:r>
      <w:r>
        <w:rPr>
          <w:rFonts w:hint="eastAsia" w:ascii="宋体" w:hAnsi="宋体" w:eastAsia="宋体" w:cs="宋体"/>
          <w:color w:val="auto"/>
          <w:lang w:eastAsia="zh-CN"/>
        </w:rPr>
        <w:t>）</w:t>
      </w:r>
      <w:r>
        <w:rPr>
          <w:rFonts w:hint="eastAsia" w:ascii="宋体" w:hAnsi="宋体" w:eastAsia="宋体" w:cs="宋体"/>
          <w:color w:val="auto"/>
        </w:rPr>
        <w:t>（10套膜吸收）、115#废气车间（</w:t>
      </w:r>
      <w:r>
        <w:rPr>
          <w:rFonts w:hint="eastAsia" w:ascii="宋体" w:hAnsi="宋体" w:eastAsia="宋体" w:cs="宋体"/>
          <w:color w:val="auto"/>
          <w:lang w:val="en-US" w:eastAsia="zh-CN"/>
        </w:rPr>
        <w:t>终：</w:t>
      </w:r>
      <w:r>
        <w:rPr>
          <w:rFonts w:hint="eastAsia" w:ascii="宋体" w:hAnsi="宋体" w:eastAsia="宋体" w:cs="宋体"/>
          <w:color w:val="auto"/>
        </w:rPr>
        <w:t>氨水储罐）</w:t>
      </w:r>
      <w:r>
        <w:rPr>
          <w:rFonts w:hint="eastAsia" w:ascii="宋体" w:hAnsi="宋体" w:eastAsia="宋体" w:cs="宋体"/>
          <w:color w:val="auto"/>
          <w:lang w:eastAsia="zh-CN"/>
        </w:rPr>
        <w:t>、</w:t>
      </w:r>
      <w:r>
        <w:rPr>
          <w:rFonts w:hint="eastAsia" w:ascii="宋体" w:hAnsi="宋体" w:eastAsia="宋体" w:cs="宋体"/>
          <w:color w:val="auto"/>
          <w:lang w:eastAsia="zh-CN"/>
        </w:rPr>
        <w:t>包括配套辅助设施、安全管理、应急管理</w:t>
      </w:r>
      <w:r>
        <w:rPr>
          <w:rFonts w:hint="eastAsia" w:ascii="宋体" w:hAnsi="宋体" w:eastAsia="宋体" w:cs="宋体"/>
          <w:color w:val="auto"/>
        </w:rPr>
        <w:t>。</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本评价报告主要对上述建设项目范围内涉及到安全生产的危险、有害因素进行识别、危险程度评价，应采取的安全技术对策措施和管理措施等进行综合评价，并检验企业提供的技术资料的有效性，企业对其提供的技术性资料的真实性负责。对于以后新增设备、进行技术改造或生产、工艺条件进行改变或用于生产其他产品均不适合本评价结论。本评价已验收的LED外延片和芯片生产项目一期的生产设备与公用工程及辅助设施。</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凡涉及该项目的厂外运输及环保问题，应执行国家有关标准和规定，不包括在本次评价范围内。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另外，涉及该项目的职业危害评价由取得职业卫生技术服务机构负责，本报告仅对有害因素进行简要辨识与分析，供企业参考，而不给予评价。另委托方所提供的文件、资料应对其真实性负责，若有虚假导致评价报告失实，本评价方不予承担责任。</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64" w:name="_Toc274377341"/>
      <w:bookmarkStart w:id="65" w:name="_Toc342424331"/>
      <w:bookmarkStart w:id="66" w:name="_Toc12912"/>
      <w:bookmarkStart w:id="67" w:name="_Toc19478"/>
      <w:bookmarkStart w:id="68" w:name="_Toc24980"/>
      <w:bookmarkStart w:id="69" w:name="_Toc8799"/>
      <w:bookmarkStart w:id="70" w:name="_Toc222196284"/>
      <w:bookmarkStart w:id="71" w:name="_Toc8880"/>
      <w:r>
        <w:rPr>
          <w:rFonts w:hint="eastAsia" w:ascii="宋体" w:hAnsi="宋体" w:eastAsia="宋体" w:cs="宋体"/>
          <w:color w:val="auto"/>
          <w:sz w:val="30"/>
          <w:szCs w:val="30"/>
        </w:rPr>
        <w:t>1.5安全现状评价程序</w:t>
      </w:r>
      <w:bookmarkEnd w:id="64"/>
      <w:bookmarkEnd w:id="65"/>
      <w:bookmarkEnd w:id="66"/>
      <w:bookmarkEnd w:id="67"/>
      <w:bookmarkEnd w:id="68"/>
      <w:bookmarkEnd w:id="69"/>
      <w:bookmarkEnd w:id="70"/>
      <w:bookmarkEnd w:id="71"/>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本项目的安全现状评价工作程序按照《安全评价导则》（AQ8001-2007）的要求。具体过程如图1-1。</w:t>
      </w:r>
    </w:p>
    <w:p>
      <w:pPr>
        <w:rPr>
          <w:rFonts w:hint="eastAsia" w:ascii="宋体" w:hAnsi="宋体" w:eastAsia="宋体" w:cs="宋体"/>
          <w:b/>
          <w:color w:val="auto"/>
          <w:sz w:val="24"/>
        </w:rPr>
      </w:pPr>
      <w:bookmarkStart w:id="72" w:name="_Toc274377342"/>
      <w:bookmarkStart w:id="73" w:name="_Toc222196285"/>
      <w:r>
        <w:rPr>
          <w:rFonts w:hint="eastAsia" w:ascii="宋体" w:hAnsi="宋体" w:eastAsia="宋体" w:cs="宋体"/>
          <w:b/>
          <w:color w:val="auto"/>
          <w:sz w:val="24"/>
        </w:rPr>
        <w:br w:type="page"/>
      </w:r>
    </w:p>
    <w:p>
      <w:pPr>
        <w:spacing w:line="600" w:lineRule="exact"/>
        <w:jc w:val="center"/>
        <w:rPr>
          <w:rFonts w:hint="eastAsia" w:ascii="宋体" w:hAnsi="宋体" w:eastAsia="宋体" w:cs="宋体"/>
          <w:b/>
          <w:color w:val="auto"/>
          <w:sz w:val="24"/>
        </w:rPr>
      </w:pPr>
      <w:r>
        <w:rPr>
          <w:rFonts w:hint="eastAsia" w:ascii="宋体" w:hAnsi="宋体" w:eastAsia="宋体" w:cs="宋体"/>
          <w:b/>
          <w:color w:val="auto"/>
          <w:sz w:val="24"/>
        </w:rPr>
        <w:t>图1-1评价程序框图</w:t>
      </w:r>
    </w:p>
    <w:bookmarkEnd w:id="72"/>
    <w:bookmarkEnd w:id="73"/>
    <w:p>
      <w:pPr>
        <w:pStyle w:val="35"/>
        <w:jc w:val="center"/>
        <w:rPr>
          <w:rFonts w:hint="eastAsia" w:ascii="宋体" w:hAnsi="宋体" w:eastAsia="宋体" w:cs="宋体"/>
          <w:color w:val="auto"/>
          <w:kern w:val="0"/>
          <w:szCs w:val="28"/>
          <w:lang w:eastAsia="en-US"/>
        </w:rPr>
      </w:pPr>
      <w:r>
        <w:rPr>
          <w:rFonts w:hint="eastAsia" w:ascii="宋体" w:hAnsi="宋体" w:eastAsia="宋体" w:cs="宋体"/>
          <w:color w:val="auto"/>
          <w:kern w:val="0"/>
          <w:szCs w:val="28"/>
        </w:rPr>
        <mc:AlternateContent>
          <mc:Choice Requires="wpc">
            <w:drawing>
              <wp:inline distT="0" distB="0" distL="114300" distR="114300">
                <wp:extent cx="2286000" cy="3765550"/>
                <wp:effectExtent l="0" t="4445" r="0" b="20955"/>
                <wp:docPr id="1" name="画布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 name="矩形 51"/>
                        <wps:cNvSpPr/>
                        <wps:spPr>
                          <a:xfrm>
                            <a:off x="114300" y="0"/>
                            <a:ext cx="2057400" cy="297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前期准备</w:t>
                              </w:r>
                            </w:p>
                          </w:txbxContent>
                        </wps:txbx>
                        <wps:bodyPr wrap="square" upright="1"/>
                      </wps:wsp>
                      <wps:wsp>
                        <wps:cNvPr id="52" name="直接连接符 52"/>
                        <wps:cNvCnPr/>
                        <wps:spPr>
                          <a:xfrm>
                            <a:off x="1143000" y="297470"/>
                            <a:ext cx="794" cy="197513"/>
                          </a:xfrm>
                          <a:prstGeom prst="line">
                            <a:avLst/>
                          </a:prstGeom>
                          <a:ln w="9525" cap="flat" cmpd="sng">
                            <a:solidFill>
                              <a:srgbClr val="000000"/>
                            </a:solidFill>
                            <a:prstDash val="solid"/>
                            <a:headEnd type="none" w="med" len="med"/>
                            <a:tailEnd type="triangle" w="sm" len="lg"/>
                          </a:ln>
                          <a:effectLst/>
                        </wps:spPr>
                        <wps:bodyPr/>
                      </wps:wsp>
                      <wps:wsp>
                        <wps:cNvPr id="53" name="矩形 53"/>
                        <wps:cNvSpPr/>
                        <wps:spPr>
                          <a:xfrm>
                            <a:off x="114300" y="494983"/>
                            <a:ext cx="2057400" cy="2982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辨识与分析危险有害因素</w:t>
                              </w:r>
                            </w:p>
                          </w:txbxContent>
                        </wps:txbx>
                        <wps:bodyPr wrap="square" upright="1"/>
                      </wps:wsp>
                      <wps:wsp>
                        <wps:cNvPr id="54" name="矩形 54"/>
                        <wps:cNvSpPr/>
                        <wps:spPr>
                          <a:xfrm>
                            <a:off x="114300" y="990766"/>
                            <a:ext cx="2057400" cy="2990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划分评价单元</w:t>
                              </w:r>
                            </w:p>
                          </w:txbxContent>
                        </wps:txbx>
                        <wps:bodyPr wrap="square" upright="1"/>
                      </wps:wsp>
                      <wps:wsp>
                        <wps:cNvPr id="55" name="矩形 55"/>
                        <wps:cNvSpPr/>
                        <wps:spPr>
                          <a:xfrm>
                            <a:off x="114300" y="1485749"/>
                            <a:ext cx="2057400" cy="297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选择评价方法</w:t>
                              </w:r>
                            </w:p>
                          </w:txbxContent>
                        </wps:txbx>
                        <wps:bodyPr wrap="square" upright="1"/>
                      </wps:wsp>
                      <wps:wsp>
                        <wps:cNvPr id="56" name="矩形 56"/>
                        <wps:cNvSpPr/>
                        <wps:spPr>
                          <a:xfrm>
                            <a:off x="114300" y="1980732"/>
                            <a:ext cx="2057400" cy="2982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定性、定量评价</w:t>
                              </w:r>
                            </w:p>
                          </w:txbxContent>
                        </wps:txbx>
                        <wps:bodyPr wrap="square" upright="1"/>
                      </wps:wsp>
                      <wps:wsp>
                        <wps:cNvPr id="57" name="矩形 57"/>
                        <wps:cNvSpPr/>
                        <wps:spPr>
                          <a:xfrm>
                            <a:off x="114300" y="2476515"/>
                            <a:ext cx="2057400" cy="2990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提出安全对策措施建议</w:t>
                              </w:r>
                            </w:p>
                          </w:txbxContent>
                        </wps:txbx>
                        <wps:bodyPr wrap="square" upright="1"/>
                      </wps:wsp>
                      <wps:wsp>
                        <wps:cNvPr id="58" name="矩形 58"/>
                        <wps:cNvSpPr/>
                        <wps:spPr>
                          <a:xfrm>
                            <a:off x="114300" y="2971498"/>
                            <a:ext cx="2057400" cy="2990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做出安全评价结论</w:t>
                              </w:r>
                            </w:p>
                          </w:txbxContent>
                        </wps:txbx>
                        <wps:bodyPr wrap="square" upright="1"/>
                      </wps:wsp>
                      <wps:wsp>
                        <wps:cNvPr id="59" name="矩形 59"/>
                        <wps:cNvSpPr/>
                        <wps:spPr>
                          <a:xfrm>
                            <a:off x="114300" y="3466481"/>
                            <a:ext cx="2057400" cy="2990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编制安全评价报告</w:t>
                              </w:r>
                            </w:p>
                          </w:txbxContent>
                        </wps:txbx>
                        <wps:bodyPr wrap="square" upright="1"/>
                      </wps:wsp>
                      <wps:wsp>
                        <wps:cNvPr id="60" name="直接连接符 60"/>
                        <wps:cNvCnPr/>
                        <wps:spPr>
                          <a:xfrm>
                            <a:off x="1143000" y="792453"/>
                            <a:ext cx="794" cy="198313"/>
                          </a:xfrm>
                          <a:prstGeom prst="line">
                            <a:avLst/>
                          </a:prstGeom>
                          <a:ln w="9525" cap="flat" cmpd="sng">
                            <a:solidFill>
                              <a:srgbClr val="000000"/>
                            </a:solidFill>
                            <a:prstDash val="solid"/>
                            <a:headEnd type="none" w="med" len="med"/>
                            <a:tailEnd type="triangle" w="sm" len="lg"/>
                          </a:ln>
                          <a:effectLst/>
                        </wps:spPr>
                        <wps:bodyPr/>
                      </wps:wsp>
                      <wps:wsp>
                        <wps:cNvPr id="61" name="直接连接符 61"/>
                        <wps:cNvCnPr/>
                        <wps:spPr>
                          <a:xfrm>
                            <a:off x="1143000" y="1287436"/>
                            <a:ext cx="794" cy="198313"/>
                          </a:xfrm>
                          <a:prstGeom prst="line">
                            <a:avLst/>
                          </a:prstGeom>
                          <a:ln w="9525" cap="flat" cmpd="sng">
                            <a:solidFill>
                              <a:srgbClr val="000000"/>
                            </a:solidFill>
                            <a:prstDash val="solid"/>
                            <a:headEnd type="none" w="med" len="med"/>
                            <a:tailEnd type="triangle" w="sm" len="lg"/>
                          </a:ln>
                          <a:effectLst/>
                        </wps:spPr>
                        <wps:bodyPr/>
                      </wps:wsp>
                      <wps:wsp>
                        <wps:cNvPr id="62" name="直接连接符 62"/>
                        <wps:cNvCnPr/>
                        <wps:spPr>
                          <a:xfrm>
                            <a:off x="1143000" y="1783219"/>
                            <a:ext cx="794" cy="197513"/>
                          </a:xfrm>
                          <a:prstGeom prst="line">
                            <a:avLst/>
                          </a:prstGeom>
                          <a:ln w="9525" cap="flat" cmpd="sng">
                            <a:solidFill>
                              <a:srgbClr val="000000"/>
                            </a:solidFill>
                            <a:prstDash val="solid"/>
                            <a:headEnd type="none" w="med" len="med"/>
                            <a:tailEnd type="triangle" w="sm" len="lg"/>
                          </a:ln>
                          <a:effectLst/>
                        </wps:spPr>
                        <wps:bodyPr/>
                      </wps:wsp>
                      <wps:wsp>
                        <wps:cNvPr id="63" name="直接连接符 63"/>
                        <wps:cNvCnPr/>
                        <wps:spPr>
                          <a:xfrm>
                            <a:off x="1143000" y="2278202"/>
                            <a:ext cx="794" cy="198313"/>
                          </a:xfrm>
                          <a:prstGeom prst="line">
                            <a:avLst/>
                          </a:prstGeom>
                          <a:ln w="9525" cap="flat" cmpd="sng">
                            <a:solidFill>
                              <a:srgbClr val="000000"/>
                            </a:solidFill>
                            <a:prstDash val="solid"/>
                            <a:headEnd type="none" w="med" len="med"/>
                            <a:tailEnd type="triangle" w="sm" len="lg"/>
                          </a:ln>
                          <a:effectLst/>
                        </wps:spPr>
                        <wps:bodyPr/>
                      </wps:wsp>
                      <wps:wsp>
                        <wps:cNvPr id="64" name="直接连接符 64"/>
                        <wps:cNvCnPr/>
                        <wps:spPr>
                          <a:xfrm>
                            <a:off x="1143000" y="2773185"/>
                            <a:ext cx="794" cy="198313"/>
                          </a:xfrm>
                          <a:prstGeom prst="line">
                            <a:avLst/>
                          </a:prstGeom>
                          <a:ln w="9525" cap="flat" cmpd="sng">
                            <a:solidFill>
                              <a:srgbClr val="000000"/>
                            </a:solidFill>
                            <a:prstDash val="solid"/>
                            <a:headEnd type="none" w="med" len="med"/>
                            <a:tailEnd type="triangle" w="sm" len="lg"/>
                          </a:ln>
                          <a:effectLst/>
                        </wps:spPr>
                        <wps:bodyPr/>
                      </wps:wsp>
                      <wps:wsp>
                        <wps:cNvPr id="65" name="直接连接符 65"/>
                        <wps:cNvCnPr/>
                        <wps:spPr>
                          <a:xfrm>
                            <a:off x="1143000" y="3268968"/>
                            <a:ext cx="794" cy="197513"/>
                          </a:xfrm>
                          <a:prstGeom prst="line">
                            <a:avLst/>
                          </a:prstGeom>
                          <a:ln w="9525" cap="flat" cmpd="sng">
                            <a:solidFill>
                              <a:srgbClr val="000000"/>
                            </a:solidFill>
                            <a:prstDash val="solid"/>
                            <a:headEnd type="none" w="med" len="med"/>
                            <a:tailEnd type="triangle" w="sm" len="lg"/>
                          </a:ln>
                          <a:effectLst/>
                        </wps:spPr>
                        <wps:bodyPr/>
                      </wps:wsp>
                    </wpc:wpc>
                  </a:graphicData>
                </a:graphic>
              </wp:inline>
            </w:drawing>
          </mc:Choice>
          <mc:Fallback>
            <w:pict>
              <v:group id="画布 66" o:spid="_x0000_s1026" o:spt="203" style="height:296.5pt;width:180pt;" coordsize="2286000,3765550" editas="canvas" o:gfxdata="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">
                <o:lock v:ext="edit" aspectratio="f"/>
                <v:shape id="画布 66" o:spid="_x0000_s1026" style="position:absolute;left:0;top:0;height:3765550;width:2286000;" filled="f" stroked="f" coordsize="21600,21600" o:gfxdata="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PJmx3dYA&#10;AAAFAQAADwAAAAAAAAABACAAAAAiAAAAZHJzL2Rvd25yZXYueG1sUEsBAhQAFAAAAAgAh07iQNqw&#10;OlMiBAAA0SQAAA4AAAAAAAAAAQAgAAAAJQEAAGRycy9lMm9Eb2MueG1sUEsFBgAAAAAGAAYAWQEA&#10;ALkHAAAAAA==&#10;">
                  <v:fill on="f" focussize="0,0"/>
                  <v:stroke on="f"/>
                  <v:imagedata o:title=""/>
                  <o:lock v:ext="edit" aspectratio="t"/>
                </v:shape>
                <v:rect id="_x0000_s1026" o:spid="_x0000_s1026" o:spt="1" style="position:absolute;left:114300;top:0;height:297470;width:2057400;" fillcolor="#FFFFFF" filled="t" stroked="t" coordsize="21600,21600" o:gfxdata="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n5qwjUAAAABQEAAA8AAAAA&#10;AAAAAQAgAAAAIgAAAGRycy9kb3ducmV2LnhtbFBLAQIUABQAAAAIAIdO4kDZd0kqGAIAAEwEAAAO&#10;AAAAAAAAAAEAIAAAACMBAABkcnMvZTJvRG9jLnhtbFBLBQYAAAAABgAGAFkBAACtBQAAAAA=&#10;">
                  <v:fill on="t" focussize="0,0"/>
                  <v:stroke color="#000000" joinstyle="miter"/>
                  <v:imagedata o:title=""/>
                  <o:lock v:ext="edit" aspectratio="f"/>
                  <v:textbox>
                    <w:txbxContent>
                      <w:p>
                        <w:pPr>
                          <w:jc w:val="center"/>
                          <w:rPr>
                            <w:sz w:val="24"/>
                          </w:rPr>
                        </w:pPr>
                        <w:r>
                          <w:rPr>
                            <w:rFonts w:hint="eastAsia"/>
                            <w:sz w:val="24"/>
                          </w:rPr>
                          <w:t>前期准备</w:t>
                        </w:r>
                      </w:p>
                    </w:txbxContent>
                  </v:textbox>
                </v:rect>
                <v:line id="_x0000_s1026" o:spid="_x0000_s1026" o:spt="20" style="position:absolute;left:1143000;top:297470;height:197513;width:794;" filled="f" stroked="t" coordsize="21600,21600" o:gfxdata="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lqy81wAAAAUBAAAPAAAAAAAAAAEAIAAAACIA&#10;AABkcnMvZG93bnJldi54bWxQSwECFAAUAAAACACHTuJASQg4QwoCAAD2AwAADgAAAAAAAAABACAA&#10;AAAmAQAAZHJzL2Uyb0RvYy54bWxQSwUGAAAAAAYABgBZAQAAogUAAAAA&#10;">
                  <v:fill on="f" focussize="0,0"/>
                  <v:stroke color="#000000" joinstyle="round" endarrow="block" endarrowwidth="narrow" endarrowlength="long"/>
                  <v:imagedata o:title=""/>
                  <o:lock v:ext="edit" aspectratio="f"/>
                </v:line>
                <v:rect id="_x0000_s1026" o:spid="_x0000_s1026" o:spt="1" style="position:absolute;left:114300;top:494983;height:298269;width:2057400;" fillcolor="#FFFFFF" filled="t" stroked="t" coordsize="21600,21600" o:gfxdata="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mrCNQAAAAFAQAA&#10;DwAAAAAAAAABACAAAAAiAAAAZHJzL2Rvd25yZXYueG1sUEsBAhQAFAAAAAgAh07iQFRqIlcdAgAA&#10;UQQAAA4AAAAAAAAAAQAgAAAAIwEAAGRycy9lMm9Eb2MueG1sUEsFBgAAAAAGAAYAWQEAALIFAAAA&#10;AA==&#10;">
                  <v:fill on="t" focussize="0,0"/>
                  <v:stroke color="#000000" joinstyle="miter"/>
                  <v:imagedata o:title=""/>
                  <o:lock v:ext="edit" aspectratio="f"/>
                  <v:textbox>
                    <w:txbxContent>
                      <w:p>
                        <w:pPr>
                          <w:jc w:val="center"/>
                          <w:rPr>
                            <w:sz w:val="24"/>
                          </w:rPr>
                        </w:pPr>
                        <w:r>
                          <w:rPr>
                            <w:rFonts w:hint="eastAsia"/>
                            <w:sz w:val="24"/>
                          </w:rPr>
                          <w:t>辨识与分析危险有害因素</w:t>
                        </w:r>
                      </w:p>
                    </w:txbxContent>
                  </v:textbox>
                </v:rect>
                <v:rect id="_x0000_s1026" o:spid="_x0000_s1026" o:spt="1" style="position:absolute;left:114300;top:990766;height:299069;width:2057400;" fillcolor="#FFFFFF" filled="t" stroked="t" coordsize="21600,21600" o:gfxdata="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mrCNQAAAAFAQAADwAA&#10;AAAAAAABACAAAAAiAAAAZHJzL2Rvd25yZXYueG1sUEsBAhQAFAAAAAgAh07iQJ2PWwkaAgAAUQQA&#10;AA4AAAAAAAAAAQAgAAAAIwEAAGRycy9lMm9Eb2MueG1sUEsFBgAAAAAGAAYAWQEAAK8FAAAAAA==&#10;">
                  <v:fill on="t" focussize="0,0"/>
                  <v:stroke color="#000000" joinstyle="miter"/>
                  <v:imagedata o:title=""/>
                  <o:lock v:ext="edit" aspectratio="f"/>
                  <v:textbox>
                    <w:txbxContent>
                      <w:p>
                        <w:pPr>
                          <w:jc w:val="center"/>
                          <w:rPr>
                            <w:sz w:val="24"/>
                          </w:rPr>
                        </w:pPr>
                        <w:r>
                          <w:rPr>
                            <w:rFonts w:hint="eastAsia"/>
                            <w:sz w:val="24"/>
                          </w:rPr>
                          <w:t>划分评价单元</w:t>
                        </w:r>
                      </w:p>
                    </w:txbxContent>
                  </v:textbox>
                </v:rect>
                <v:rect id="_x0000_s1026" o:spid="_x0000_s1026" o:spt="1" style="position:absolute;left:114300;top:1485749;height:297470;width:2057400;" fillcolor="#FFFFFF" filled="t" stroked="t" coordsize="21600,21600" o:gfxdata="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mrCNQAAAAFAQAA&#10;DwAAAAAAAAABACAAAAAiAAAAZHJzL2Rvd25yZXYueG1sUEsBAhQAFAAAAAgAh07iQDlpEgodAgAA&#10;UgQAAA4AAAAAAAAAAQAgAAAAIwEAAGRycy9lMm9Eb2MueG1sUEsFBgAAAAAGAAYAWQEAALIFAAAA&#10;AA==&#10;">
                  <v:fill on="t" focussize="0,0"/>
                  <v:stroke color="#000000" joinstyle="miter"/>
                  <v:imagedata o:title=""/>
                  <o:lock v:ext="edit" aspectratio="f"/>
                  <v:textbox>
                    <w:txbxContent>
                      <w:p>
                        <w:pPr>
                          <w:jc w:val="center"/>
                          <w:rPr>
                            <w:sz w:val="24"/>
                          </w:rPr>
                        </w:pPr>
                        <w:r>
                          <w:rPr>
                            <w:rFonts w:hint="eastAsia"/>
                            <w:sz w:val="24"/>
                          </w:rPr>
                          <w:t>选择评价方法</w:t>
                        </w:r>
                      </w:p>
                    </w:txbxContent>
                  </v:textbox>
                </v:rect>
                <v:rect id="_x0000_s1026" o:spid="_x0000_s1026" o:spt="1" style="position:absolute;left:114300;top:1980732;height:298269;width:2057400;" fillcolor="#FFFFFF" filled="t" stroked="t" coordsize="21600,21600" o:gfxdata="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mrCNQAAAAFAQAA&#10;DwAAAAAAAAABACAAAAAiAAAAZHJzL2Rvd25yZXYueG1sUEsBAhQAFAAAAAgAh07iQJLjfLMdAgAA&#10;UgQAAA4AAAAAAAAAAQAgAAAAIwEAAGRycy9lMm9Eb2MueG1sUEsFBgAAAAAGAAYAWQEAALIFAAAA&#10;AA==&#10;">
                  <v:fill on="t" focussize="0,0"/>
                  <v:stroke color="#000000" joinstyle="miter"/>
                  <v:imagedata o:title=""/>
                  <o:lock v:ext="edit" aspectratio="f"/>
                  <v:textbox>
                    <w:txbxContent>
                      <w:p>
                        <w:pPr>
                          <w:jc w:val="center"/>
                          <w:rPr>
                            <w:sz w:val="24"/>
                          </w:rPr>
                        </w:pPr>
                        <w:r>
                          <w:rPr>
                            <w:rFonts w:hint="eastAsia"/>
                            <w:sz w:val="24"/>
                          </w:rPr>
                          <w:t>定性、定量评价</w:t>
                        </w:r>
                      </w:p>
                    </w:txbxContent>
                  </v:textbox>
                </v:rect>
                <v:rect id="_x0000_s1026" o:spid="_x0000_s1026" o:spt="1" style="position:absolute;left:114300;top:2476515;height:299069;width:2057400;" fillcolor="#FFFFFF" filled="t" stroked="t" coordsize="21600,21600" o:gfxdata="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asI1AAAAAUBAAAP&#10;AAAAAAAAAAEAIAAAACIAAABkcnMvZG93bnJldi54bWxQSwECFAAUAAAACACHTuJAnFkG/BwCAABS&#10;BAAADgAAAAAAAAABACAAAAAjAQAAZHJzL2Uyb0RvYy54bWxQSwUGAAAAAAYABgBZAQAAsQUAAAAA&#10;">
                  <v:fill on="t" focussize="0,0"/>
                  <v:stroke color="#000000" joinstyle="miter"/>
                  <v:imagedata o:title=""/>
                  <o:lock v:ext="edit" aspectratio="f"/>
                  <v:textbox>
                    <w:txbxContent>
                      <w:p>
                        <w:pPr>
                          <w:jc w:val="center"/>
                          <w:rPr>
                            <w:sz w:val="24"/>
                          </w:rPr>
                        </w:pPr>
                        <w:r>
                          <w:rPr>
                            <w:rFonts w:hint="eastAsia"/>
                            <w:sz w:val="24"/>
                          </w:rPr>
                          <w:t>提出安全对策措施建议</w:t>
                        </w:r>
                      </w:p>
                    </w:txbxContent>
                  </v:textbox>
                </v:rect>
                <v:rect id="_x0000_s1026" o:spid="_x0000_s1026" o:spt="1" style="position:absolute;left:114300;top:2971498;height:299069;width:2057400;" fillcolor="#FFFFFF" filled="t" stroked="t" coordsize="21600,21600" o:gfxdata="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n5qwjUAAAABQEAAA8A&#10;AAAAAAAAAQAgAAAAIgAAAGRycy9kb3ducmV2LnhtbFBLAQIUABQAAAAIAIdO4kAGkL6bGwIAAFIE&#10;AAAOAAAAAAAAAAEAIAAAACMBAABkcnMvZTJvRG9jLnhtbFBLBQYAAAAABgAGAFkBAACwBQAAAAA=&#10;">
                  <v:fill on="t" focussize="0,0"/>
                  <v:stroke color="#000000" joinstyle="miter"/>
                  <v:imagedata o:title=""/>
                  <o:lock v:ext="edit" aspectratio="f"/>
                  <v:textbox>
                    <w:txbxContent>
                      <w:p>
                        <w:pPr>
                          <w:jc w:val="center"/>
                          <w:rPr>
                            <w:sz w:val="24"/>
                          </w:rPr>
                        </w:pPr>
                        <w:r>
                          <w:rPr>
                            <w:rFonts w:hint="eastAsia"/>
                            <w:sz w:val="24"/>
                          </w:rPr>
                          <w:t>做出安全评价结论</w:t>
                        </w:r>
                      </w:p>
                    </w:txbxContent>
                  </v:textbox>
                </v:rect>
                <v:rect id="_x0000_s1026" o:spid="_x0000_s1026" o:spt="1" style="position:absolute;left:114300;top:3466481;height:299069;width:2057400;" fillcolor="#FFFFFF" filled="t" stroked="t" coordsize="21600,21600" o:gfxdata="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mrCNQAAAAF&#10;AQAADwAAAAAAAAABACAAAAAiAAAAZHJzL2Rvd25yZXYueG1sUEsBAhQAFAAAAAgAh07iQBM9aHgg&#10;AgAAUgQAAA4AAAAAAAAAAQAgAAAAIwEAAGRycy9lMm9Eb2MueG1sUEsFBgAAAAAGAAYAWQEAALUF&#10;AAAAAA==&#10;">
                  <v:fill on="t" focussize="0,0"/>
                  <v:stroke color="#000000" joinstyle="miter"/>
                  <v:imagedata o:title=""/>
                  <o:lock v:ext="edit" aspectratio="f"/>
                  <v:textbox>
                    <w:txbxContent>
                      <w:p>
                        <w:pPr>
                          <w:jc w:val="center"/>
                          <w:rPr>
                            <w:sz w:val="24"/>
                          </w:rPr>
                        </w:pPr>
                        <w:r>
                          <w:rPr>
                            <w:rFonts w:hint="eastAsia"/>
                            <w:sz w:val="24"/>
                          </w:rPr>
                          <w:t>编制安全评价报告</w:t>
                        </w:r>
                      </w:p>
                    </w:txbxContent>
                  </v:textbox>
                </v:rect>
                <v:line id="_x0000_s1026" o:spid="_x0000_s1026" o:spt="20" style="position:absolute;left:1143000;top:792453;height:198313;width:794;" filled="f" stroked="t" coordsize="21600,21600" o:gfxdata="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mWrLzXAAAABQEAAA8AAAAAAAAAAQAgAAAA&#10;IgAAAGRycy9kb3ducmV2LnhtbFBLAQIUABQAAAAIAIdO4kBGhSqXDAIAAPYDAAAOAAAAAAAAAAEA&#10;IAAAACYBAABkcnMvZTJvRG9jLnhtbFBLBQYAAAAABgAGAFkBAACkBQAAAAA=&#10;">
                  <v:fill on="f" focussize="0,0"/>
                  <v:stroke color="#000000" joinstyle="round" endarrow="block" endarrowwidth="narrow" endarrowlength="long"/>
                  <v:imagedata o:title=""/>
                  <o:lock v:ext="edit" aspectratio="f"/>
                </v:line>
                <v:line id="_x0000_s1026" o:spid="_x0000_s1026" o:spt="20" style="position:absolute;left:1143000;top:1287436;height:198313;width:794;" filled="f" stroked="t" coordsize="21600,21600" o:gfxdata="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ZasvNcAAAAFAQAADwAAAAAAAAABACAAAAAi&#10;AAAAZHJzL2Rvd25yZXYueG1sUEsBAhQAFAAAAAgAh07iQNkJEdgLAgAA9wMAAA4AAAAAAAAAAQAg&#10;AAAAJgEAAGRycy9lMm9Eb2MueG1sUEsFBgAAAAAGAAYAWQEAAKMFAAAAAA==&#10;">
                  <v:fill on="f" focussize="0,0"/>
                  <v:stroke color="#000000" joinstyle="round" endarrow="block" endarrowwidth="narrow" endarrowlength="long"/>
                  <v:imagedata o:title=""/>
                  <o:lock v:ext="edit" aspectratio="f"/>
                </v:line>
                <v:line id="_x0000_s1026" o:spid="_x0000_s1026" o:spt="20" style="position:absolute;left:1143000;top:1783219;height:197513;width:794;" filled="f" stroked="t" coordsize="21600,21600" o:gfxdata="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ZasvNcAAAAFAQAADwAAAAAAAAABACAAAAAi&#10;AAAAZHJzL2Rvd25yZXYueG1sUEsBAhQAFAAAAAgAh07iQEtBzgALAgAA9wMAAA4AAAAAAAAAAQAg&#10;AAAAJgEAAGRycy9lMm9Eb2MueG1sUEsFBgAAAAAGAAYAWQEAAKMFAAAAAA==&#10;">
                  <v:fill on="f" focussize="0,0"/>
                  <v:stroke color="#000000" joinstyle="round" endarrow="block" endarrowwidth="narrow" endarrowlength="long"/>
                  <v:imagedata o:title=""/>
                  <o:lock v:ext="edit" aspectratio="f"/>
                </v:line>
                <v:line id="_x0000_s1026" o:spid="_x0000_s1026" o:spt="20" style="position:absolute;left:1143000;top:2278202;height:198313;width:794;" filled="f" stroked="t" coordsize="21600,21600" o:gfxdata="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ZasvNcAAAAFAQAADwAAAAAAAAABACAA&#10;AAAiAAAAZHJzL2Rvd25yZXYueG1sUEsBAhQAFAAAAAgAh07iQIeA8/8OAgAA9wMAAA4AAAAAAAAA&#10;AQAgAAAAJgEAAGRycy9lMm9Eb2MueG1sUEsFBgAAAAAGAAYAWQEAAKYFAAAAAA==&#10;">
                  <v:fill on="f" focussize="0,0"/>
                  <v:stroke color="#000000" joinstyle="round" endarrow="block" endarrowwidth="narrow" endarrowlength="long"/>
                  <v:imagedata o:title=""/>
                  <o:lock v:ext="edit" aspectratio="f"/>
                </v:line>
                <v:line id="_x0000_s1026" o:spid="_x0000_s1026" o:spt="20" style="position:absolute;left:1143000;top:2773185;height:198313;width:794;" filled="f" stroked="t" coordsize="21600,21600" o:gfxdata="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mWrLzXAAAABQEAAA8AAAAAAAAAAQAgAAAA&#10;IgAAAGRycy9kb3ducmV2LnhtbFBLAQIUABQAAAAIAIdO4kAvhhIGDAIAAPcDAAAOAAAAAAAAAAEA&#10;IAAAACYBAABkcnMvZTJvRG9jLnhtbFBLBQYAAAAABgAGAFkBAACkBQAAAAA=&#10;">
                  <v:fill on="f" focussize="0,0"/>
                  <v:stroke color="#000000" joinstyle="round" endarrow="block" endarrowwidth="narrow" endarrowlength="long"/>
                  <v:imagedata o:title=""/>
                  <o:lock v:ext="edit" aspectratio="f"/>
                </v:line>
                <v:line id="_x0000_s1026" o:spid="_x0000_s1026" o:spt="20" style="position:absolute;left:1143000;top:3268968;height:197513;width:794;" filled="f" stroked="t" coordsize="21600,21600" o:gfxdata="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lqy81wAAAAUBAAAPAAAAAAAAAAEAIAAA&#10;ACIAAABkcnMvZG93bnJldi54bWxQSwECFAAUAAAACACHTuJAMe9OGw0CAAD3AwAADgAAAAAAAAAB&#10;ACAAAAAmAQAAZHJzL2Uyb0RvYy54bWxQSwUGAAAAAAYABgBZAQAApQUAAAAA&#10;">
                  <v:fill on="f" focussize="0,0"/>
                  <v:stroke color="#000000" joinstyle="round" endarrow="block" endarrowwidth="narrow" endarrowlength="long"/>
                  <v:imagedata o:title=""/>
                  <o:lock v:ext="edit" aspectratio="f"/>
                </v:line>
                <w10:wrap type="none"/>
                <w10:anchorlock/>
              </v:group>
            </w:pict>
          </mc:Fallback>
        </mc:AlternateContent>
      </w:r>
    </w:p>
    <w:p>
      <w:pPr>
        <w:pStyle w:val="6"/>
        <w:spacing w:line="600" w:lineRule="exact"/>
        <w:rPr>
          <w:rFonts w:hint="eastAsia" w:ascii="宋体" w:hAnsi="宋体" w:eastAsia="宋体" w:cs="宋体"/>
          <w:color w:val="auto"/>
        </w:rPr>
      </w:pPr>
      <w:r>
        <w:rPr>
          <w:rFonts w:hint="eastAsia" w:ascii="宋体" w:hAnsi="宋体" w:eastAsia="宋体" w:cs="宋体"/>
          <w:color w:val="auto"/>
          <w:kern w:val="0"/>
          <w:szCs w:val="28"/>
        </w:rPr>
        <w:br w:type="page"/>
      </w:r>
      <w:bookmarkStart w:id="74" w:name="_Toc2169"/>
      <w:bookmarkStart w:id="75" w:name="_Toc15714"/>
      <w:bookmarkStart w:id="76" w:name="_Toc17463"/>
      <w:r>
        <w:rPr>
          <w:rFonts w:hint="eastAsia" w:ascii="宋体" w:hAnsi="宋体" w:eastAsia="宋体" w:cs="宋体"/>
          <w:color w:val="auto"/>
        </w:rPr>
        <w:t>2、建设项目概况</w:t>
      </w:r>
      <w:bookmarkEnd w:id="74"/>
      <w:bookmarkEnd w:id="75"/>
      <w:bookmarkEnd w:id="76"/>
    </w:p>
    <w:p>
      <w:pPr>
        <w:pStyle w:val="7"/>
        <w:spacing w:line="600" w:lineRule="exact"/>
        <w:rPr>
          <w:rFonts w:hint="eastAsia" w:ascii="宋体" w:hAnsi="宋体" w:eastAsia="宋体" w:cs="宋体"/>
          <w:color w:val="auto"/>
          <w:sz w:val="30"/>
          <w:szCs w:val="30"/>
        </w:rPr>
      </w:pPr>
      <w:bookmarkStart w:id="77" w:name="_Toc17055"/>
      <w:bookmarkStart w:id="78" w:name="_Toc31758"/>
      <w:bookmarkStart w:id="79" w:name="_Toc342424333"/>
      <w:bookmarkStart w:id="80" w:name="_Toc17068"/>
      <w:bookmarkStart w:id="81" w:name="_Toc274377343"/>
      <w:bookmarkStart w:id="82" w:name="_Toc5179"/>
      <w:bookmarkStart w:id="83" w:name="_Toc26603"/>
      <w:r>
        <w:rPr>
          <w:rFonts w:hint="eastAsia" w:ascii="宋体" w:hAnsi="宋体" w:eastAsia="宋体" w:cs="宋体"/>
          <w:color w:val="auto"/>
          <w:sz w:val="30"/>
          <w:szCs w:val="30"/>
        </w:rPr>
        <w:t>2.1建设单位概况</w:t>
      </w:r>
      <w:bookmarkEnd w:id="77"/>
      <w:bookmarkEnd w:id="78"/>
      <w:bookmarkEnd w:id="79"/>
      <w:bookmarkEnd w:id="80"/>
      <w:bookmarkEnd w:id="81"/>
      <w:bookmarkEnd w:id="82"/>
      <w:bookmarkEnd w:id="83"/>
    </w:p>
    <w:p>
      <w:pPr>
        <w:spacing w:line="560" w:lineRule="exact"/>
        <w:ind w:firstLine="560" w:firstLineChars="200"/>
        <w:rPr>
          <w:rFonts w:hint="eastAsia" w:ascii="宋体" w:hAnsi="宋体" w:eastAsia="宋体" w:cs="宋体"/>
          <w:color w:val="auto"/>
          <w:szCs w:val="28"/>
        </w:rPr>
      </w:pPr>
      <w:r>
        <w:rPr>
          <w:rFonts w:hint="eastAsia" w:ascii="宋体" w:hAnsi="宋体" w:eastAsia="宋体" w:cs="宋体"/>
          <w:color w:val="auto"/>
          <w:szCs w:val="28"/>
        </w:rPr>
        <w:t>江西兆驰半导体有限公司位于南昌市南昌高新技术产业开发区天祥北大道1717号，该公司成立于2017年7月32日，注册资金</w:t>
      </w:r>
      <w:r>
        <w:rPr>
          <w:rFonts w:hint="eastAsia" w:ascii="宋体" w:hAnsi="宋体" w:eastAsia="宋体" w:cs="宋体"/>
          <w:color w:val="auto"/>
          <w:szCs w:val="28"/>
        </w:rPr>
        <w:t>31</w:t>
      </w:r>
      <w:r>
        <w:rPr>
          <w:rFonts w:hint="eastAsia" w:ascii="宋体" w:hAnsi="宋体" w:eastAsia="宋体" w:cs="宋体"/>
          <w:color w:val="auto"/>
          <w:szCs w:val="28"/>
        </w:rPr>
        <w:t>0000万元，企业法人为顾伟，公司许可经营范围为：半导体材料与器件、电子材料与器件、半导体照明设备的设计、研发、生产（仅限分支机构）、销售；自营或代理各类商品及技术的进出口业务；信息技术咨询服务；（依法须经批准的项目，经相关部门批准后方可开展经营活动）。该企业于2021年</w:t>
      </w:r>
      <w:r>
        <w:rPr>
          <w:rFonts w:hint="eastAsia" w:ascii="宋体" w:hAnsi="宋体" w:eastAsia="宋体" w:cs="宋体"/>
          <w:color w:val="auto"/>
          <w:szCs w:val="28"/>
          <w:lang w:val="en-US" w:eastAsia="zh-CN"/>
        </w:rPr>
        <w:t>5</w:t>
      </w:r>
      <w:r>
        <w:rPr>
          <w:rFonts w:hint="eastAsia" w:ascii="宋体" w:hAnsi="宋体" w:eastAsia="宋体" w:cs="宋体"/>
          <w:color w:val="auto"/>
          <w:szCs w:val="28"/>
        </w:rPr>
        <w:t>月</w:t>
      </w:r>
      <w:r>
        <w:rPr>
          <w:rFonts w:hint="eastAsia" w:ascii="宋体" w:hAnsi="宋体" w:eastAsia="宋体" w:cs="宋体"/>
          <w:color w:val="auto"/>
          <w:szCs w:val="28"/>
          <w:lang w:val="en-US" w:eastAsia="zh-CN"/>
        </w:rPr>
        <w:t>14</w:t>
      </w:r>
      <w:r>
        <w:rPr>
          <w:rFonts w:hint="eastAsia" w:ascii="宋体" w:hAnsi="宋体" w:eastAsia="宋体" w:cs="宋体"/>
          <w:color w:val="auto"/>
          <w:szCs w:val="28"/>
        </w:rPr>
        <w:t>日通过安全验收评价</w:t>
      </w:r>
      <w:r>
        <w:rPr>
          <w:rFonts w:hint="eastAsia" w:ascii="宋体" w:hAnsi="宋体" w:eastAsia="宋体" w:cs="宋体"/>
          <w:color w:val="auto"/>
          <w:szCs w:val="28"/>
          <w:lang w:eastAsia="zh-CN"/>
        </w:rPr>
        <w:t>专家评审会</w:t>
      </w:r>
      <w:r>
        <w:rPr>
          <w:rFonts w:hint="eastAsia" w:ascii="宋体" w:hAnsi="宋体" w:eastAsia="宋体" w:cs="宋体"/>
          <w:color w:val="auto"/>
          <w:szCs w:val="28"/>
        </w:rPr>
        <w:t>，</w:t>
      </w:r>
      <w:r>
        <w:rPr>
          <w:rFonts w:hint="eastAsia" w:ascii="宋体" w:hAnsi="宋体" w:eastAsia="宋体" w:cs="宋体"/>
          <w:color w:val="auto"/>
          <w:szCs w:val="28"/>
          <w:lang w:val="en-US" w:eastAsia="zh-CN"/>
        </w:rPr>
        <w:t>9月13日取得复核意见。</w:t>
      </w:r>
      <w:r>
        <w:rPr>
          <w:rFonts w:hint="eastAsia" w:ascii="宋体" w:hAnsi="宋体" w:eastAsia="宋体" w:cs="宋体"/>
          <w:color w:val="auto"/>
          <w:szCs w:val="28"/>
        </w:rPr>
        <w:t>由于该企业副产品氨水需要办理危险化学品经营许可证，委托江西赣昌安全生产科技服务有限公司承担该企业氨水回收装置的安全现状评价工作。</w:t>
      </w:r>
    </w:p>
    <w:p>
      <w:pPr>
        <w:spacing w:line="560" w:lineRule="exact"/>
        <w:ind w:firstLine="560" w:firstLineChars="200"/>
        <w:rPr>
          <w:rFonts w:hint="eastAsia" w:ascii="宋体" w:hAnsi="宋体" w:eastAsia="宋体" w:cs="宋体"/>
          <w:color w:val="auto"/>
          <w:szCs w:val="28"/>
        </w:rPr>
      </w:pPr>
      <w:r>
        <w:rPr>
          <w:rFonts w:hint="eastAsia" w:ascii="宋体" w:hAnsi="宋体" w:eastAsia="宋体" w:cs="宋体"/>
          <w:color w:val="auto"/>
          <w:szCs w:val="28"/>
        </w:rPr>
        <w:t>公司环境健康安全部门现有员工20名，其中专业技术人员6名，专职安全管理人员2名</w:t>
      </w:r>
      <w:bookmarkStart w:id="84" w:name="_Toc204429118"/>
      <w:bookmarkStart w:id="85" w:name="_Toc525109137"/>
      <w:bookmarkStart w:id="86" w:name="_Toc923"/>
      <w:r>
        <w:rPr>
          <w:rFonts w:hint="eastAsia" w:ascii="宋体" w:hAnsi="宋体" w:eastAsia="宋体" w:cs="宋体"/>
          <w:color w:val="auto"/>
          <w:szCs w:val="28"/>
        </w:rPr>
        <w:t>。</w:t>
      </w:r>
    </w:p>
    <w:p>
      <w:pPr>
        <w:pStyle w:val="7"/>
        <w:spacing w:line="600" w:lineRule="exact"/>
        <w:rPr>
          <w:rFonts w:hint="eastAsia" w:ascii="宋体" w:hAnsi="宋体" w:eastAsia="宋体" w:cs="宋体"/>
          <w:color w:val="auto"/>
          <w:sz w:val="30"/>
          <w:szCs w:val="30"/>
        </w:rPr>
      </w:pPr>
      <w:bookmarkStart w:id="87" w:name="_Toc206"/>
      <w:bookmarkStart w:id="88" w:name="_Toc25765"/>
      <w:r>
        <w:rPr>
          <w:rFonts w:hint="eastAsia" w:ascii="宋体" w:hAnsi="宋体" w:eastAsia="宋体" w:cs="宋体"/>
          <w:color w:val="auto"/>
          <w:sz w:val="30"/>
          <w:szCs w:val="30"/>
        </w:rPr>
        <w:t>2.2</w:t>
      </w:r>
      <w:bookmarkEnd w:id="84"/>
      <w:r>
        <w:rPr>
          <w:rFonts w:hint="eastAsia" w:ascii="宋体" w:hAnsi="宋体" w:eastAsia="宋体" w:cs="宋体"/>
          <w:color w:val="auto"/>
          <w:sz w:val="30"/>
          <w:szCs w:val="30"/>
        </w:rPr>
        <w:t>地理位置与周边环境</w:t>
      </w:r>
      <w:bookmarkEnd w:id="85"/>
      <w:bookmarkEnd w:id="86"/>
      <w:bookmarkEnd w:id="87"/>
      <w:bookmarkEnd w:id="88"/>
    </w:p>
    <w:p>
      <w:pPr>
        <w:pStyle w:val="8"/>
        <w:keepNext w:val="0"/>
        <w:keepLines w:val="0"/>
        <w:spacing w:line="600" w:lineRule="exact"/>
        <w:jc w:val="both"/>
        <w:rPr>
          <w:rFonts w:hint="eastAsia" w:ascii="宋体" w:hAnsi="宋体" w:eastAsia="宋体" w:cs="宋体"/>
          <w:color w:val="auto"/>
          <w:szCs w:val="28"/>
        </w:rPr>
      </w:pPr>
      <w:r>
        <w:rPr>
          <w:rFonts w:hint="eastAsia" w:ascii="宋体" w:hAnsi="宋体" w:eastAsia="宋体" w:cs="宋体"/>
          <w:color w:val="auto"/>
          <w:sz w:val="30"/>
          <w:szCs w:val="30"/>
        </w:rPr>
        <w:t>2.2.1地理位置</w:t>
      </w:r>
    </w:p>
    <w:p>
      <w:pPr>
        <w:spacing w:line="600" w:lineRule="exact"/>
        <w:ind w:firstLine="560" w:firstLineChars="200"/>
        <w:rPr>
          <w:rFonts w:hint="eastAsia" w:ascii="宋体" w:hAnsi="宋体" w:eastAsia="宋体" w:cs="宋体"/>
          <w:color w:val="auto"/>
          <w:szCs w:val="28"/>
        </w:rPr>
      </w:pPr>
      <w:r>
        <w:rPr>
          <w:rFonts w:hint="eastAsia" w:ascii="宋体" w:hAnsi="宋体" w:eastAsia="宋体" w:cs="宋体"/>
          <w:color w:val="auto"/>
        </w:rPr>
        <w:t>该企业位于</w:t>
      </w:r>
      <w:r>
        <w:rPr>
          <w:rFonts w:hint="eastAsia" w:ascii="宋体" w:hAnsi="宋体" w:eastAsia="宋体" w:cs="宋体"/>
          <w:color w:val="auto"/>
          <w:szCs w:val="28"/>
        </w:rPr>
        <w:t>南昌市南昌高新技术产业开发区，</w:t>
      </w:r>
      <w:r>
        <w:rPr>
          <w:rFonts w:hint="eastAsia" w:ascii="宋体" w:hAnsi="宋体" w:eastAsia="宋体" w:cs="宋体"/>
          <w:color w:val="auto"/>
        </w:rPr>
        <w:t>区域地形</w:t>
      </w:r>
      <w:r>
        <w:rPr>
          <w:rFonts w:hint="eastAsia" w:ascii="宋体" w:hAnsi="宋体" w:eastAsia="宋体" w:cs="宋体"/>
          <w:color w:val="auto"/>
          <w:szCs w:val="28"/>
        </w:rPr>
        <w:t>为赣抚平原西南边缘的残丘岗地，海拔高程一般在30～40m，地势北高，略向南西倾斜，山坡平缓。地层分布均匀而有规律，土壤上部为带砂性红壤土，下部为河流冲积砂层。主要形成于中、上更新世，其岩性结构自上而下依次为：亚砂土层、砂层、砂砾石层、砾卵石层，土质结构稳定，下伏地基为第三条红色岩系。</w:t>
      </w:r>
      <w:r>
        <w:rPr>
          <w:rFonts w:hint="eastAsia" w:ascii="宋体" w:hAnsi="宋体" w:eastAsia="宋体" w:cs="宋体"/>
          <w:color w:val="auto"/>
        </w:rPr>
        <w:t>地表无破坏现象，地下无地道、地洞、古墓，厂址周围无风景名胜和文化古迹等，工程地质条件较好。厂址地下水对各水泥基础无侵蚀性。该企业</w:t>
      </w:r>
      <w:r>
        <w:rPr>
          <w:rFonts w:hint="eastAsia" w:ascii="宋体" w:hAnsi="宋体" w:eastAsia="宋体" w:cs="宋体"/>
          <w:color w:val="auto"/>
          <w:szCs w:val="28"/>
        </w:rPr>
        <w:t>地理位置如下：</w:t>
      </w:r>
    </w:p>
    <w:p>
      <w:pPr>
        <w:spacing w:line="600" w:lineRule="exact"/>
        <w:ind w:firstLine="2508" w:firstLineChars="896"/>
        <w:rPr>
          <w:rFonts w:hint="eastAsia" w:ascii="宋体" w:hAnsi="宋体" w:eastAsia="宋体" w:cs="宋体"/>
          <w:color w:val="auto"/>
          <w:szCs w:val="28"/>
        </w:rPr>
      </w:pPr>
      <w:r>
        <w:rPr>
          <w:rFonts w:hint="eastAsia" w:ascii="宋体" w:hAnsi="宋体" w:eastAsia="宋体" w:cs="宋体"/>
          <w:color w:val="auto"/>
        </w:rPr>
        <w:br w:type="page"/>
      </w:r>
      <w:r>
        <w:rPr>
          <w:rFonts w:hint="eastAsia" w:ascii="宋体" w:hAnsi="宋体" w:eastAsia="宋体" w:cs="宋体"/>
          <w:color w:val="auto"/>
        </w:rPr>
        <w:t>图2.2-1   该企业区域位置图</w:t>
      </w:r>
    </w:p>
    <w:p>
      <w:pPr>
        <w:rPr>
          <w:rFonts w:hint="eastAsia" w:ascii="宋体" w:hAnsi="宋体" w:eastAsia="宋体" w:cs="宋体"/>
          <w:color w:val="auto"/>
          <w:szCs w:val="28"/>
        </w:rPr>
      </w:pPr>
      <w:r>
        <w:rPr>
          <w:rFonts w:hint="eastAsia" w:ascii="宋体" w:hAnsi="宋体" w:eastAsia="宋体" w:cs="宋体"/>
          <w:color w:val="auto"/>
        </w:rPr>
        <w:drawing>
          <wp:inline distT="0" distB="0" distL="114300" distR="114300">
            <wp:extent cx="5755640" cy="4352290"/>
            <wp:effectExtent l="0" t="0" r="16510" b="10160"/>
            <wp:docPr id="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4"/>
                    <pic:cNvPicPr>
                      <a:picLocks noChangeAspect="1"/>
                    </pic:cNvPicPr>
                  </pic:nvPicPr>
                  <pic:blipFill>
                    <a:blip r:embed="rId14"/>
                    <a:stretch>
                      <a:fillRect/>
                    </a:stretch>
                  </pic:blipFill>
                  <pic:spPr>
                    <a:xfrm>
                      <a:off x="0" y="0"/>
                      <a:ext cx="5755640" cy="4352290"/>
                    </a:xfrm>
                    <a:prstGeom prst="rect">
                      <a:avLst/>
                    </a:prstGeom>
                    <a:noFill/>
                    <a:ln>
                      <a:noFill/>
                    </a:ln>
                  </pic:spPr>
                </pic:pic>
              </a:graphicData>
            </a:graphic>
          </wp:inline>
        </w:drawing>
      </w:r>
      <w:r>
        <w:rPr>
          <w:rFonts w:hint="eastAsia" w:ascii="宋体" w:hAnsi="宋体" w:eastAsia="宋体" w:cs="宋体"/>
          <w:color w:val="auto"/>
          <w:sz w:val="32"/>
        </w:rPr>
        <mc:AlternateContent>
          <mc:Choice Requires="wps">
            <w:drawing>
              <wp:anchor distT="0" distB="0" distL="114300" distR="114300" simplePos="0" relativeHeight="251661312" behindDoc="0" locked="0" layoutInCell="1" allowOverlap="1">
                <wp:simplePos x="0" y="0"/>
                <wp:positionH relativeFrom="column">
                  <wp:posOffset>2645410</wp:posOffset>
                </wp:positionH>
                <wp:positionV relativeFrom="paragraph">
                  <wp:posOffset>797560</wp:posOffset>
                </wp:positionV>
                <wp:extent cx="866775" cy="361950"/>
                <wp:effectExtent l="0" t="0" r="0" b="0"/>
                <wp:wrapNone/>
                <wp:docPr id="2" name="文本框 71"/>
                <wp:cNvGraphicFramePr/>
                <a:graphic xmlns:a="http://schemas.openxmlformats.org/drawingml/2006/main">
                  <a:graphicData uri="http://schemas.microsoft.com/office/word/2010/wordprocessingShape">
                    <wps:wsp>
                      <wps:cNvSpPr txBox="1"/>
                      <wps:spPr>
                        <a:xfrm>
                          <a:off x="0" y="0"/>
                          <a:ext cx="866775" cy="361950"/>
                        </a:xfrm>
                        <a:prstGeom prst="rect">
                          <a:avLst/>
                        </a:prstGeom>
                        <a:noFill/>
                        <a:ln>
                          <a:noFill/>
                        </a:ln>
                      </wps:spPr>
                      <wps:txbx>
                        <w:txbxContent>
                          <w:p>
                            <w:pPr>
                              <w:rPr>
                                <w:b/>
                                <w:bCs/>
                                <w:color w:val="FF0000"/>
                                <w:sz w:val="21"/>
                                <w:szCs w:val="21"/>
                              </w:rPr>
                            </w:pPr>
                          </w:p>
                        </w:txbxContent>
                      </wps:txbx>
                      <wps:bodyPr wrap="square" upright="1"/>
                    </wps:wsp>
                  </a:graphicData>
                </a:graphic>
              </wp:anchor>
            </w:drawing>
          </mc:Choice>
          <mc:Fallback>
            <w:pict>
              <v:shape id="文本框 71" o:spid="_x0000_s1026" o:spt="202" type="#_x0000_t202" style="position:absolute;left:0pt;margin-left:208.3pt;margin-top:62.8pt;height:28.5pt;width:68.25pt;z-index:251661312;mso-width-relative:page;mso-height-relative:page;" filled="f" stroked="f" coordsize="21600,21600" o:gfxdata="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IvQRE1wAAAAsBAAAPAAAAAAAAAAEAIAAAACIAAABkcnMvZG93bnJldi54bWxQSwECFAAU&#10;AAAACACHTuJAq1BvJLkBAABcAwAADgAAAAAAAAABACAAAAAmAQAAZHJzL2Uyb0RvYy54bWxQSwUG&#10;AAAAAAYABgBZAQAAUQUAAAAA&#10;">
                <v:fill on="f" focussize="0,0"/>
                <v:stroke on="f"/>
                <v:imagedata o:title=""/>
                <o:lock v:ext="edit" aspectratio="f"/>
                <v:textbox>
                  <w:txbxContent>
                    <w:p>
                      <w:pPr>
                        <w:rPr>
                          <w:b/>
                          <w:bCs/>
                          <w:color w:val="FF0000"/>
                          <w:sz w:val="21"/>
                          <w:szCs w:val="21"/>
                        </w:rPr>
                      </w:pPr>
                    </w:p>
                  </w:txbxContent>
                </v:textbox>
              </v:shape>
            </w:pict>
          </mc:Fallback>
        </mc:AlternateContent>
      </w:r>
    </w:p>
    <w:p>
      <w:pPr>
        <w:pStyle w:val="8"/>
        <w:keepNext w:val="0"/>
        <w:keepLines w:val="0"/>
        <w:spacing w:line="600" w:lineRule="exact"/>
        <w:jc w:val="both"/>
        <w:rPr>
          <w:rFonts w:hint="eastAsia" w:ascii="宋体" w:hAnsi="宋体" w:eastAsia="宋体" w:cs="宋体"/>
          <w:color w:val="auto"/>
          <w:sz w:val="30"/>
          <w:szCs w:val="30"/>
        </w:rPr>
      </w:pPr>
      <w:r>
        <w:rPr>
          <w:rFonts w:hint="eastAsia" w:ascii="宋体" w:hAnsi="宋体" w:eastAsia="宋体" w:cs="宋体"/>
          <w:color w:val="auto"/>
          <w:sz w:val="30"/>
          <w:szCs w:val="30"/>
        </w:rPr>
        <w:t>2.2.2厂址概况</w:t>
      </w:r>
    </w:p>
    <w:p>
      <w:pPr>
        <w:spacing w:line="600" w:lineRule="exact"/>
        <w:rPr>
          <w:rFonts w:hint="eastAsia" w:ascii="宋体" w:hAnsi="宋体" w:eastAsia="宋体" w:cs="宋体"/>
          <w:color w:val="auto"/>
          <w:szCs w:val="28"/>
        </w:rPr>
      </w:pPr>
      <w:r>
        <w:rPr>
          <w:rFonts w:hint="eastAsia" w:ascii="宋体" w:hAnsi="宋体" w:eastAsia="宋体" w:cs="宋体"/>
          <w:color w:val="auto"/>
          <w:szCs w:val="28"/>
        </w:rPr>
        <w:t>地址、地形、地貌</w:t>
      </w:r>
    </w:p>
    <w:p>
      <w:pPr>
        <w:spacing w:line="600" w:lineRule="exact"/>
        <w:ind w:firstLine="560"/>
        <w:rPr>
          <w:rFonts w:hint="eastAsia" w:ascii="宋体" w:hAnsi="宋体" w:eastAsia="宋体" w:cs="宋体"/>
          <w:color w:val="auto"/>
          <w:kern w:val="0"/>
          <w:szCs w:val="28"/>
        </w:rPr>
      </w:pPr>
      <w:bookmarkStart w:id="89" w:name="_Toc17603"/>
      <w:r>
        <w:rPr>
          <w:rFonts w:hint="eastAsia" w:ascii="宋体" w:hAnsi="宋体" w:eastAsia="宋体" w:cs="宋体"/>
          <w:color w:val="auto"/>
          <w:kern w:val="0"/>
          <w:szCs w:val="28"/>
        </w:rPr>
        <w:t>南昌市位于江西省中部偏北，地处赣江下游抚河尾闾之间，地理座标东经115度50分-116度01分，北纬28度36分-28度47分。</w:t>
      </w:r>
    </w:p>
    <w:p>
      <w:pPr>
        <w:spacing w:line="600" w:lineRule="exact"/>
        <w:ind w:firstLine="560"/>
        <w:rPr>
          <w:rFonts w:hint="eastAsia" w:ascii="宋体" w:hAnsi="宋体" w:eastAsia="宋体" w:cs="宋体"/>
          <w:color w:val="auto"/>
          <w:kern w:val="0"/>
          <w:szCs w:val="28"/>
        </w:rPr>
      </w:pPr>
      <w:r>
        <w:rPr>
          <w:rFonts w:hint="eastAsia" w:ascii="宋体" w:hAnsi="宋体" w:eastAsia="宋体" w:cs="宋体"/>
          <w:color w:val="auto"/>
          <w:kern w:val="0"/>
          <w:szCs w:val="28"/>
        </w:rPr>
        <w:t>气候特点：属亚热带东南季风气候，温暖多雨，四季分明，温差较大，夏秋季酷热。</w:t>
      </w:r>
    </w:p>
    <w:p>
      <w:pPr>
        <w:spacing w:line="600" w:lineRule="exact"/>
        <w:ind w:firstLine="560"/>
        <w:rPr>
          <w:rFonts w:hint="eastAsia" w:ascii="宋体" w:hAnsi="宋体" w:eastAsia="宋体" w:cs="宋体"/>
          <w:color w:val="auto"/>
          <w:spacing w:val="-4"/>
          <w:kern w:val="0"/>
          <w:szCs w:val="28"/>
        </w:rPr>
      </w:pPr>
      <w:r>
        <w:rPr>
          <w:rFonts w:hint="eastAsia" w:ascii="宋体" w:hAnsi="宋体" w:eastAsia="宋体" w:cs="宋体"/>
          <w:color w:val="auto"/>
          <w:spacing w:val="-4"/>
          <w:kern w:val="0"/>
          <w:szCs w:val="28"/>
        </w:rPr>
        <w:t>1、气温：历年平均气温16-18℃，最热月7月份，平均气温29.7℃，最冷月1月份，平均气温4.9℃，极端最高气温40.6℃，极端最低气温-9.3℃。</w:t>
      </w:r>
    </w:p>
    <w:p>
      <w:pPr>
        <w:spacing w:line="600" w:lineRule="exact"/>
        <w:ind w:firstLine="560"/>
        <w:rPr>
          <w:rFonts w:hint="eastAsia" w:ascii="宋体" w:hAnsi="宋体" w:eastAsia="宋体" w:cs="宋体"/>
          <w:color w:val="auto"/>
          <w:kern w:val="0"/>
          <w:szCs w:val="28"/>
        </w:rPr>
      </w:pPr>
      <w:r>
        <w:rPr>
          <w:rFonts w:hint="eastAsia" w:ascii="宋体" w:hAnsi="宋体" w:eastAsia="宋体" w:cs="宋体"/>
          <w:color w:val="auto"/>
          <w:kern w:val="0"/>
          <w:szCs w:val="28"/>
        </w:rPr>
        <w:t>2、气压（Kpa）：夏季平均气压99.86，冬季平均气压101.86。</w:t>
      </w:r>
    </w:p>
    <w:p>
      <w:pPr>
        <w:spacing w:line="600" w:lineRule="exact"/>
        <w:ind w:firstLine="560"/>
        <w:rPr>
          <w:rFonts w:hint="eastAsia" w:ascii="宋体" w:hAnsi="宋体" w:eastAsia="宋体" w:cs="宋体"/>
          <w:color w:val="auto"/>
          <w:kern w:val="0"/>
          <w:szCs w:val="28"/>
        </w:rPr>
      </w:pPr>
      <w:r>
        <w:rPr>
          <w:rFonts w:hint="eastAsia" w:ascii="宋体" w:hAnsi="宋体" w:eastAsia="宋体" w:cs="宋体"/>
          <w:color w:val="auto"/>
          <w:kern w:val="0"/>
          <w:szCs w:val="28"/>
        </w:rPr>
        <w:t>3、湿度（%）：夏季最热月平均相对湿度77.7，冬季最冷月平均相对湿度75。潮湿系数为1.05。</w:t>
      </w:r>
    </w:p>
    <w:p>
      <w:pPr>
        <w:spacing w:line="600" w:lineRule="exact"/>
        <w:ind w:firstLine="560"/>
        <w:rPr>
          <w:rFonts w:hint="eastAsia" w:ascii="宋体" w:hAnsi="宋体" w:eastAsia="宋体" w:cs="宋体"/>
          <w:color w:val="auto"/>
          <w:kern w:val="0"/>
          <w:szCs w:val="28"/>
        </w:rPr>
      </w:pPr>
      <w:r>
        <w:rPr>
          <w:rFonts w:hint="eastAsia" w:ascii="宋体" w:hAnsi="宋体" w:eastAsia="宋体" w:cs="宋体"/>
          <w:color w:val="auto"/>
          <w:kern w:val="0"/>
          <w:szCs w:val="28"/>
        </w:rPr>
        <w:t>4、降雨量（mm）：年平均降雨量1596，最大降雨量2346，最小降雨量1402.6，最大一日暴雨量200.6。每年集中降雨期限为4-6月份。</w:t>
      </w:r>
    </w:p>
    <w:p>
      <w:pPr>
        <w:spacing w:line="600" w:lineRule="exact"/>
        <w:ind w:firstLine="560"/>
        <w:rPr>
          <w:rFonts w:hint="eastAsia" w:ascii="宋体" w:hAnsi="宋体" w:eastAsia="宋体" w:cs="宋体"/>
          <w:color w:val="auto"/>
          <w:kern w:val="0"/>
          <w:szCs w:val="28"/>
        </w:rPr>
      </w:pPr>
      <w:r>
        <w:rPr>
          <w:rFonts w:hint="eastAsia" w:ascii="宋体" w:hAnsi="宋体" w:eastAsia="宋体" w:cs="宋体"/>
          <w:color w:val="auto"/>
          <w:kern w:val="0"/>
          <w:szCs w:val="28"/>
        </w:rPr>
        <w:t>5、风速与风向（m/s）：冬春季多刮北风和偏北风，平均风速4.6-5.4，七、八月多刮西南风，偶有短时台风侵袭，八一桥水面阵风可达八级。</w:t>
      </w:r>
    </w:p>
    <w:p>
      <w:pPr>
        <w:spacing w:line="600" w:lineRule="exact"/>
        <w:ind w:firstLine="560"/>
        <w:rPr>
          <w:rFonts w:hint="eastAsia" w:ascii="宋体" w:hAnsi="宋体" w:eastAsia="宋体" w:cs="宋体"/>
          <w:color w:val="auto"/>
          <w:kern w:val="0"/>
          <w:szCs w:val="28"/>
        </w:rPr>
      </w:pPr>
      <w:r>
        <w:rPr>
          <w:rFonts w:hint="eastAsia" w:ascii="宋体" w:hAnsi="宋体" w:eastAsia="宋体" w:cs="宋体"/>
          <w:color w:val="auto"/>
          <w:kern w:val="0"/>
          <w:szCs w:val="28"/>
        </w:rPr>
        <w:t>6、雷暴（日）：年最多雷暴日85。</w:t>
      </w:r>
    </w:p>
    <w:p>
      <w:pPr>
        <w:pStyle w:val="8"/>
        <w:keepNext w:val="0"/>
        <w:keepLines w:val="0"/>
        <w:spacing w:line="600" w:lineRule="exact"/>
        <w:jc w:val="both"/>
        <w:rPr>
          <w:rFonts w:hint="eastAsia" w:ascii="宋体" w:hAnsi="宋体" w:eastAsia="宋体" w:cs="宋体"/>
          <w:color w:val="auto"/>
          <w:sz w:val="30"/>
          <w:szCs w:val="30"/>
        </w:rPr>
      </w:pPr>
      <w:r>
        <w:rPr>
          <w:rFonts w:hint="eastAsia" w:ascii="宋体" w:hAnsi="宋体" w:eastAsia="宋体" w:cs="宋体"/>
          <w:color w:val="auto"/>
          <w:sz w:val="30"/>
          <w:szCs w:val="30"/>
        </w:rPr>
        <w:t>2.2.3周边环境</w:t>
      </w:r>
      <w:bookmarkEnd w:id="89"/>
    </w:p>
    <w:p>
      <w:pPr>
        <w:spacing w:line="600" w:lineRule="exact"/>
        <w:ind w:firstLine="570"/>
        <w:rPr>
          <w:rFonts w:hint="eastAsia" w:ascii="宋体" w:hAnsi="宋体" w:eastAsia="宋体" w:cs="宋体"/>
          <w:b/>
          <w:color w:val="auto"/>
          <w:szCs w:val="28"/>
        </w:rPr>
      </w:pPr>
      <w:r>
        <w:rPr>
          <w:rFonts w:hint="eastAsia" w:ascii="宋体" w:hAnsi="宋体" w:eastAsia="宋体" w:cs="宋体"/>
          <w:color w:val="auto"/>
          <w:szCs w:val="28"/>
        </w:rPr>
        <w:t>江西兆驰半导体有限公司位于南昌市南昌高新技术产业开发区天祥北大道1717号，东面设有2个出入口，南面与西面各设置一个出入口，南面入口外为天祥北大道，路对面为江西方大长力汽车零部件有限公司，东面围墙外为规划路；路对面为空地，西面为空地，北面下尾村、昌东二中，周边200m范围内无车站、码头、大型商场、学校等重要公共建筑物。江西兆驰半导体有限公司</w:t>
      </w:r>
      <w:r>
        <w:rPr>
          <w:rFonts w:hint="eastAsia" w:ascii="宋体" w:hAnsi="宋体" w:eastAsia="宋体" w:cs="宋体"/>
          <w:color w:val="auto"/>
        </w:rPr>
        <w:t>周边情况见表2.2-1。</w:t>
      </w:r>
    </w:p>
    <w:p>
      <w:pPr>
        <w:spacing w:line="600" w:lineRule="exact"/>
        <w:ind w:firstLine="480" w:firstLineChars="200"/>
        <w:jc w:val="center"/>
        <w:rPr>
          <w:rFonts w:hint="eastAsia" w:ascii="宋体" w:hAnsi="宋体" w:eastAsia="宋体" w:cs="宋体"/>
          <w:bCs/>
          <w:color w:val="auto"/>
          <w:sz w:val="24"/>
        </w:rPr>
      </w:pPr>
      <w:r>
        <w:rPr>
          <w:rFonts w:hint="eastAsia" w:ascii="宋体" w:hAnsi="宋体" w:eastAsia="宋体" w:cs="宋体"/>
          <w:bCs/>
          <w:color w:val="auto"/>
          <w:sz w:val="24"/>
        </w:rPr>
        <w:t>表2.2-1  企业周边基本情况表</w:t>
      </w:r>
    </w:p>
    <w:tbl>
      <w:tblPr>
        <w:tblStyle w:val="28"/>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090"/>
        <w:gridCol w:w="3476"/>
        <w:gridCol w:w="865"/>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exact"/>
          <w:jc w:val="center"/>
        </w:trPr>
        <w:tc>
          <w:tcPr>
            <w:tcW w:w="623" w:type="pct"/>
            <w:vAlign w:val="center"/>
          </w:tcPr>
          <w:p>
            <w:pPr>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相对位置</w:t>
            </w:r>
          </w:p>
        </w:tc>
        <w:tc>
          <w:tcPr>
            <w:tcW w:w="1095" w:type="pct"/>
            <w:vAlign w:val="center"/>
          </w:tcPr>
          <w:p>
            <w:pPr>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厂内项目建、</w:t>
            </w:r>
          </w:p>
          <w:p>
            <w:pPr>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构筑物名称</w:t>
            </w:r>
          </w:p>
        </w:tc>
        <w:tc>
          <w:tcPr>
            <w:tcW w:w="1821" w:type="pct"/>
            <w:vAlign w:val="center"/>
          </w:tcPr>
          <w:p>
            <w:pPr>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厂外建、构筑物名称</w:t>
            </w:r>
          </w:p>
        </w:tc>
        <w:tc>
          <w:tcPr>
            <w:tcW w:w="453" w:type="pct"/>
            <w:vAlign w:val="center"/>
          </w:tcPr>
          <w:p>
            <w:pPr>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实际间距</w:t>
            </w:r>
            <w:r>
              <w:rPr>
                <w:rFonts w:hint="eastAsia" w:ascii="宋体" w:hAnsi="宋体" w:eastAsia="宋体" w:cs="宋体"/>
                <w:b/>
                <w:color w:val="auto"/>
                <w:kern w:val="0"/>
                <w:sz w:val="21"/>
                <w:szCs w:val="21"/>
              </w:rPr>
              <w:t>m</w:t>
            </w:r>
          </w:p>
        </w:tc>
        <w:tc>
          <w:tcPr>
            <w:tcW w:w="1005" w:type="pct"/>
            <w:vAlign w:val="center"/>
          </w:tcPr>
          <w:p>
            <w:pPr>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jc w:val="center"/>
        </w:trPr>
        <w:tc>
          <w:tcPr>
            <w:tcW w:w="623"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东面</w:t>
            </w:r>
          </w:p>
        </w:tc>
        <w:tc>
          <w:tcPr>
            <w:tcW w:w="1095"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101外延芯片厂房</w:t>
            </w:r>
          </w:p>
        </w:tc>
        <w:tc>
          <w:tcPr>
            <w:tcW w:w="1821"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规划路</w:t>
            </w:r>
          </w:p>
        </w:tc>
        <w:tc>
          <w:tcPr>
            <w:tcW w:w="453"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26</w:t>
            </w:r>
          </w:p>
        </w:tc>
        <w:tc>
          <w:tcPr>
            <w:tcW w:w="1005" w:type="pct"/>
            <w:vAlign w:val="center"/>
          </w:tcPr>
          <w:p>
            <w:pPr>
              <w:jc w:val="center"/>
              <w:rPr>
                <w:rFonts w:hint="eastAsia" w:ascii="宋体" w:hAnsi="宋体" w:eastAsia="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exact"/>
          <w:jc w:val="center"/>
        </w:trPr>
        <w:tc>
          <w:tcPr>
            <w:tcW w:w="623" w:type="pct"/>
            <w:vMerge w:val="restar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南面</w:t>
            </w:r>
          </w:p>
        </w:tc>
        <w:tc>
          <w:tcPr>
            <w:tcW w:w="1095" w:type="pct"/>
            <w:vMerge w:val="restar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116氨气站</w:t>
            </w:r>
          </w:p>
        </w:tc>
        <w:tc>
          <w:tcPr>
            <w:tcW w:w="1821"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天祥北大道</w:t>
            </w:r>
          </w:p>
        </w:tc>
        <w:tc>
          <w:tcPr>
            <w:tcW w:w="453"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64</w:t>
            </w:r>
          </w:p>
        </w:tc>
        <w:tc>
          <w:tcPr>
            <w:tcW w:w="1005" w:type="pct"/>
            <w:vAlign w:val="center"/>
          </w:tcPr>
          <w:p>
            <w:pPr>
              <w:jc w:val="center"/>
              <w:rPr>
                <w:rFonts w:hint="eastAsia" w:ascii="宋体" w:hAnsi="宋体" w:eastAsia="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exact"/>
          <w:jc w:val="center"/>
        </w:trPr>
        <w:tc>
          <w:tcPr>
            <w:tcW w:w="623" w:type="pct"/>
            <w:vMerge w:val="continue"/>
            <w:vAlign w:val="center"/>
          </w:tcPr>
          <w:p>
            <w:pPr>
              <w:jc w:val="center"/>
              <w:rPr>
                <w:rFonts w:hint="eastAsia" w:ascii="宋体" w:hAnsi="宋体" w:eastAsia="宋体" w:cs="宋体"/>
                <w:bCs/>
                <w:color w:val="auto"/>
                <w:kern w:val="0"/>
                <w:sz w:val="21"/>
                <w:szCs w:val="21"/>
              </w:rPr>
            </w:pPr>
          </w:p>
        </w:tc>
        <w:tc>
          <w:tcPr>
            <w:tcW w:w="1095" w:type="pct"/>
            <w:vMerge w:val="continue"/>
            <w:vAlign w:val="center"/>
          </w:tcPr>
          <w:p>
            <w:pPr>
              <w:jc w:val="center"/>
              <w:rPr>
                <w:rFonts w:hint="eastAsia" w:ascii="宋体" w:hAnsi="宋体" w:eastAsia="宋体" w:cs="宋体"/>
                <w:bCs/>
                <w:color w:val="auto"/>
                <w:kern w:val="0"/>
                <w:sz w:val="21"/>
                <w:szCs w:val="21"/>
              </w:rPr>
            </w:pPr>
          </w:p>
        </w:tc>
        <w:tc>
          <w:tcPr>
            <w:tcW w:w="1821"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江西方大长力汽车零部件有限公司</w:t>
            </w:r>
          </w:p>
        </w:tc>
        <w:tc>
          <w:tcPr>
            <w:tcW w:w="453"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176</w:t>
            </w:r>
          </w:p>
        </w:tc>
        <w:tc>
          <w:tcPr>
            <w:tcW w:w="1005" w:type="pct"/>
            <w:vAlign w:val="center"/>
          </w:tcPr>
          <w:p>
            <w:pPr>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相隔</w:t>
            </w:r>
            <w:r>
              <w:rPr>
                <w:rFonts w:hint="eastAsia" w:ascii="宋体" w:hAnsi="宋体" w:eastAsia="宋体" w:cs="宋体"/>
                <w:bCs/>
                <w:color w:val="auto"/>
                <w:kern w:val="0"/>
                <w:sz w:val="21"/>
                <w:szCs w:val="21"/>
              </w:rPr>
              <w:t>天祥北大道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jc w:val="center"/>
        </w:trPr>
        <w:tc>
          <w:tcPr>
            <w:tcW w:w="623"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西面</w:t>
            </w:r>
          </w:p>
        </w:tc>
        <w:tc>
          <w:tcPr>
            <w:tcW w:w="1095"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106废水站及废水处理池</w:t>
            </w:r>
          </w:p>
        </w:tc>
        <w:tc>
          <w:tcPr>
            <w:tcW w:w="1821"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空地</w:t>
            </w:r>
          </w:p>
        </w:tc>
        <w:tc>
          <w:tcPr>
            <w:tcW w:w="453" w:type="pct"/>
            <w:vAlign w:val="center"/>
          </w:tcPr>
          <w:p>
            <w:pPr>
              <w:jc w:val="center"/>
              <w:rPr>
                <w:rFonts w:hint="eastAsia" w:ascii="宋体" w:hAnsi="宋体" w:eastAsia="宋体" w:cs="宋体"/>
                <w:bCs/>
                <w:color w:val="auto"/>
                <w:kern w:val="0"/>
                <w:sz w:val="21"/>
                <w:szCs w:val="21"/>
              </w:rPr>
            </w:pPr>
          </w:p>
        </w:tc>
        <w:tc>
          <w:tcPr>
            <w:tcW w:w="1005" w:type="pct"/>
            <w:vAlign w:val="center"/>
          </w:tcPr>
          <w:p>
            <w:pPr>
              <w:jc w:val="center"/>
              <w:rPr>
                <w:rFonts w:hint="eastAsia" w:ascii="宋体" w:hAnsi="宋体" w:eastAsia="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623" w:type="pct"/>
            <w:vMerge w:val="restar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北面</w:t>
            </w:r>
          </w:p>
        </w:tc>
        <w:tc>
          <w:tcPr>
            <w:tcW w:w="1095" w:type="pct"/>
            <w:vMerge w:val="restar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宿舍楼</w:t>
            </w:r>
          </w:p>
        </w:tc>
        <w:tc>
          <w:tcPr>
            <w:tcW w:w="1821"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下尾村</w:t>
            </w:r>
          </w:p>
        </w:tc>
        <w:tc>
          <w:tcPr>
            <w:tcW w:w="453"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110</w:t>
            </w:r>
          </w:p>
        </w:tc>
        <w:tc>
          <w:tcPr>
            <w:tcW w:w="1005" w:type="pct"/>
            <w:vAlign w:val="center"/>
          </w:tcPr>
          <w:p>
            <w:pPr>
              <w:jc w:val="center"/>
              <w:rPr>
                <w:rFonts w:hint="eastAsia" w:ascii="宋体" w:hAnsi="宋体" w:eastAsia="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exact"/>
          <w:jc w:val="center"/>
        </w:trPr>
        <w:tc>
          <w:tcPr>
            <w:tcW w:w="623" w:type="pct"/>
            <w:vMerge w:val="continue"/>
            <w:vAlign w:val="center"/>
          </w:tcPr>
          <w:p>
            <w:pPr>
              <w:jc w:val="center"/>
              <w:rPr>
                <w:rFonts w:hint="eastAsia" w:ascii="宋体" w:hAnsi="宋体" w:eastAsia="宋体" w:cs="宋体"/>
                <w:bCs/>
                <w:color w:val="auto"/>
                <w:kern w:val="0"/>
                <w:sz w:val="21"/>
                <w:szCs w:val="21"/>
              </w:rPr>
            </w:pPr>
            <w:bookmarkStart w:id="90" w:name="_Toc17853"/>
          </w:p>
        </w:tc>
        <w:tc>
          <w:tcPr>
            <w:tcW w:w="1095" w:type="pct"/>
            <w:vMerge w:val="continue"/>
            <w:vAlign w:val="center"/>
          </w:tcPr>
          <w:p>
            <w:pPr>
              <w:jc w:val="center"/>
              <w:rPr>
                <w:rFonts w:hint="eastAsia" w:ascii="宋体" w:hAnsi="宋体" w:eastAsia="宋体" w:cs="宋体"/>
                <w:bCs/>
                <w:color w:val="auto"/>
                <w:kern w:val="0"/>
                <w:sz w:val="21"/>
                <w:szCs w:val="21"/>
              </w:rPr>
            </w:pPr>
          </w:p>
        </w:tc>
        <w:tc>
          <w:tcPr>
            <w:tcW w:w="1821"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昌东二中</w:t>
            </w:r>
          </w:p>
        </w:tc>
        <w:tc>
          <w:tcPr>
            <w:tcW w:w="453" w:type="pct"/>
            <w:vAlign w:val="center"/>
          </w:tcPr>
          <w:p>
            <w:pPr>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230</w:t>
            </w:r>
          </w:p>
        </w:tc>
        <w:tc>
          <w:tcPr>
            <w:tcW w:w="1005" w:type="pct"/>
            <w:vAlign w:val="center"/>
          </w:tcPr>
          <w:p>
            <w:pPr>
              <w:jc w:val="center"/>
              <w:rPr>
                <w:rFonts w:hint="eastAsia" w:ascii="宋体" w:hAnsi="宋体" w:eastAsia="宋体" w:cs="宋体"/>
                <w:color w:val="auto"/>
                <w:kern w:val="0"/>
                <w:sz w:val="21"/>
                <w:szCs w:val="21"/>
              </w:rPr>
            </w:pPr>
          </w:p>
        </w:tc>
      </w:tr>
    </w:tbl>
    <w:p>
      <w:pPr>
        <w:pStyle w:val="7"/>
        <w:spacing w:line="600" w:lineRule="exact"/>
        <w:rPr>
          <w:rFonts w:hint="eastAsia" w:ascii="宋体" w:hAnsi="宋体" w:eastAsia="宋体" w:cs="宋体"/>
          <w:color w:val="auto"/>
          <w:sz w:val="30"/>
          <w:szCs w:val="30"/>
        </w:rPr>
      </w:pPr>
      <w:bookmarkStart w:id="91" w:name="_Toc6142"/>
      <w:bookmarkStart w:id="92" w:name="_Toc29923"/>
      <w:r>
        <w:rPr>
          <w:rFonts w:hint="eastAsia" w:ascii="宋体" w:hAnsi="宋体" w:eastAsia="宋体" w:cs="宋体"/>
          <w:color w:val="auto"/>
          <w:sz w:val="30"/>
          <w:szCs w:val="30"/>
        </w:rPr>
        <w:t>2.3总平面布置</w:t>
      </w:r>
      <w:bookmarkEnd w:id="90"/>
      <w:bookmarkEnd w:id="91"/>
      <w:bookmarkEnd w:id="92"/>
    </w:p>
    <w:p>
      <w:pPr>
        <w:pStyle w:val="16"/>
        <w:adjustRightInd/>
        <w:snapToGrid/>
        <w:spacing w:line="600" w:lineRule="exact"/>
        <w:ind w:firstLine="602"/>
        <w:outlineLvl w:val="2"/>
        <w:rPr>
          <w:rFonts w:hint="eastAsia" w:ascii="宋体" w:hAnsi="宋体" w:eastAsia="宋体" w:cs="宋体"/>
          <w:b/>
          <w:color w:val="auto"/>
          <w:kern w:val="0"/>
          <w:sz w:val="30"/>
          <w:szCs w:val="20"/>
        </w:rPr>
      </w:pPr>
      <w:r>
        <w:rPr>
          <w:rFonts w:hint="eastAsia" w:ascii="宋体" w:hAnsi="宋体" w:eastAsia="宋体" w:cs="宋体"/>
          <w:b/>
          <w:color w:val="auto"/>
          <w:kern w:val="0"/>
          <w:sz w:val="30"/>
          <w:szCs w:val="20"/>
        </w:rPr>
        <w:t>2.3.1总平面布置</w:t>
      </w:r>
    </w:p>
    <w:p>
      <w:pPr>
        <w:spacing w:line="600" w:lineRule="exact"/>
        <w:ind w:firstLine="560" w:firstLineChars="200"/>
        <w:rPr>
          <w:rFonts w:hint="eastAsia" w:ascii="宋体" w:hAnsi="宋体" w:eastAsia="宋体" w:cs="宋体"/>
          <w:color w:val="auto"/>
          <w:szCs w:val="28"/>
        </w:rPr>
      </w:pPr>
      <w:r>
        <w:rPr>
          <w:rFonts w:hint="eastAsia" w:ascii="宋体" w:hAnsi="宋体" w:eastAsia="宋体" w:cs="宋体"/>
          <w:color w:val="auto"/>
        </w:rPr>
        <w:t>厂区厂房面积约15万平方米，</w:t>
      </w:r>
      <w:r>
        <w:rPr>
          <w:rFonts w:hint="eastAsia" w:ascii="宋体" w:hAnsi="宋体" w:eastAsia="宋体" w:cs="宋体"/>
          <w:color w:val="auto"/>
          <w:szCs w:val="28"/>
        </w:rPr>
        <w:t>平面似梯形布置，为确保安全生产及方便生产管理的需要，该企业采用分区布置，本评价报告涉及的101外延芯片厂房、115废气车间位于厂区中部。</w:t>
      </w:r>
    </w:p>
    <w:p>
      <w:pPr>
        <w:spacing w:line="600" w:lineRule="exact"/>
        <w:ind w:firstLine="560" w:firstLineChars="200"/>
        <w:rPr>
          <w:rFonts w:hint="eastAsia" w:ascii="宋体" w:hAnsi="宋体" w:eastAsia="宋体" w:cs="宋体"/>
          <w:color w:val="auto"/>
          <w:szCs w:val="28"/>
        </w:rPr>
      </w:pPr>
      <w:r>
        <w:rPr>
          <w:rFonts w:hint="eastAsia" w:ascii="宋体" w:hAnsi="宋体" w:eastAsia="宋体" w:cs="宋体"/>
          <w:color w:val="auto"/>
          <w:szCs w:val="28"/>
        </w:rPr>
        <w:t>该企业东面设置2个出入口，靠近南侧设生产车辆出入口，生产车辆由该企业东南侧的大门出入；靠近北侧设有办公人员出入口，采用人车分流通行，避免其相互间的交叉及相互干扰。</w:t>
      </w:r>
    </w:p>
    <w:p>
      <w:pPr>
        <w:spacing w:line="600" w:lineRule="exact"/>
        <w:ind w:firstLine="570"/>
        <w:rPr>
          <w:rFonts w:hint="eastAsia" w:ascii="宋体" w:hAnsi="宋体" w:eastAsia="宋体" w:cs="宋体"/>
          <w:color w:val="auto"/>
          <w:szCs w:val="28"/>
        </w:rPr>
      </w:pPr>
      <w:r>
        <w:rPr>
          <w:rFonts w:hint="eastAsia" w:ascii="宋体" w:hAnsi="宋体" w:eastAsia="宋体" w:cs="宋体"/>
          <w:color w:val="auto"/>
          <w:szCs w:val="28"/>
        </w:rPr>
        <w:t>101外延芯片厂房、115废气车间设有环形消防车道，充分保证道路的通畅。该企业内道路路面宽为</w:t>
      </w:r>
      <w:r>
        <w:rPr>
          <w:rFonts w:hint="eastAsia" w:ascii="宋体" w:hAnsi="宋体" w:eastAsia="宋体" w:cs="宋体"/>
          <w:color w:val="auto"/>
          <w:szCs w:val="28"/>
          <w:lang w:val="en-US" w:eastAsia="zh-CN"/>
        </w:rPr>
        <w:t>10</w:t>
      </w:r>
      <w:r>
        <w:rPr>
          <w:rFonts w:hint="eastAsia" w:ascii="宋体" w:hAnsi="宋体" w:eastAsia="宋体" w:cs="宋体"/>
          <w:color w:val="auto"/>
          <w:szCs w:val="28"/>
        </w:rPr>
        <w:t>m和</w:t>
      </w:r>
      <w:r>
        <w:rPr>
          <w:rFonts w:hint="eastAsia" w:ascii="宋体" w:hAnsi="宋体" w:eastAsia="宋体" w:cs="宋体"/>
          <w:color w:val="auto"/>
          <w:szCs w:val="28"/>
          <w:lang w:val="en-US" w:eastAsia="zh-CN"/>
        </w:rPr>
        <w:t>6</w:t>
      </w:r>
      <w:r>
        <w:rPr>
          <w:rFonts w:hint="eastAsia" w:ascii="宋体" w:hAnsi="宋体" w:eastAsia="宋体" w:cs="宋体"/>
          <w:color w:val="auto"/>
          <w:szCs w:val="28"/>
        </w:rPr>
        <w:t>m，转弯半径为9m和12m，路面结构为混凝土路面。项目功能分区明确，生产区周围道路构成环形，满足厂区运输和消防要求。具体见总平面布置图。</w:t>
      </w:r>
    </w:p>
    <w:p>
      <w:pPr>
        <w:pStyle w:val="16"/>
        <w:adjustRightInd/>
        <w:snapToGrid/>
        <w:spacing w:line="600" w:lineRule="exact"/>
        <w:ind w:firstLine="602"/>
        <w:outlineLvl w:val="2"/>
        <w:rPr>
          <w:rFonts w:hint="eastAsia" w:ascii="宋体" w:hAnsi="宋体" w:eastAsia="宋体" w:cs="宋体"/>
          <w:b/>
          <w:color w:val="auto"/>
          <w:kern w:val="0"/>
          <w:sz w:val="30"/>
          <w:szCs w:val="20"/>
        </w:rPr>
      </w:pPr>
      <w:r>
        <w:rPr>
          <w:rFonts w:hint="eastAsia" w:ascii="宋体" w:hAnsi="宋体" w:eastAsia="宋体" w:cs="宋体"/>
          <w:b/>
          <w:color w:val="auto"/>
          <w:kern w:val="0"/>
          <w:sz w:val="30"/>
          <w:szCs w:val="20"/>
        </w:rPr>
        <w:t>2.3.2主要建（构）筑物</w:t>
      </w:r>
    </w:p>
    <w:p>
      <w:pPr>
        <w:spacing w:line="600" w:lineRule="exact"/>
        <w:ind w:firstLine="560" w:firstLineChars="200"/>
        <w:rPr>
          <w:rFonts w:hint="eastAsia" w:ascii="宋体" w:hAnsi="宋体" w:eastAsia="宋体" w:cs="宋体"/>
          <w:color w:val="auto"/>
          <w:szCs w:val="36"/>
        </w:rPr>
      </w:pPr>
      <w:r>
        <w:rPr>
          <w:rFonts w:hint="eastAsia" w:ascii="宋体" w:hAnsi="宋体" w:eastAsia="宋体" w:cs="宋体"/>
          <w:color w:val="auto"/>
          <w:szCs w:val="36"/>
        </w:rPr>
        <w:t>该项目主要的建、构筑物如下表2.3-1：</w:t>
      </w:r>
    </w:p>
    <w:p>
      <w:pPr>
        <w:spacing w:line="600" w:lineRule="exact"/>
        <w:ind w:firstLine="482" w:firstLineChars="200"/>
        <w:jc w:val="center"/>
        <w:rPr>
          <w:rFonts w:hint="eastAsia" w:ascii="宋体" w:hAnsi="宋体" w:eastAsia="宋体" w:cs="宋体"/>
          <w:b/>
          <w:color w:val="auto"/>
          <w:sz w:val="24"/>
        </w:rPr>
      </w:pPr>
      <w:r>
        <w:rPr>
          <w:rFonts w:hint="eastAsia" w:ascii="宋体" w:hAnsi="宋体" w:eastAsia="宋体" w:cs="宋体"/>
          <w:b/>
          <w:color w:val="auto"/>
          <w:sz w:val="24"/>
        </w:rPr>
        <w:t>表2.3-1  该项目主要建、构筑物一览表</w:t>
      </w:r>
    </w:p>
    <w:tbl>
      <w:tblPr>
        <w:tblStyle w:val="28"/>
        <w:tblW w:w="940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40"/>
        <w:gridCol w:w="1807"/>
        <w:gridCol w:w="1220"/>
        <w:gridCol w:w="1034"/>
        <w:gridCol w:w="1128"/>
        <w:gridCol w:w="794"/>
        <w:gridCol w:w="1092"/>
        <w:gridCol w:w="168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1" w:hRule="exact"/>
        </w:trPr>
        <w:tc>
          <w:tcPr>
            <w:tcW w:w="64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编号</w:t>
            </w:r>
          </w:p>
        </w:tc>
        <w:tc>
          <w:tcPr>
            <w:tcW w:w="1807"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tc>
        <w:tc>
          <w:tcPr>
            <w:tcW w:w="122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面积（m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p>
        </w:tc>
        <w:tc>
          <w:tcPr>
            <w:tcW w:w="103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层数</w:t>
            </w:r>
          </w:p>
        </w:tc>
        <w:tc>
          <w:tcPr>
            <w:tcW w:w="1128"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生产类别</w:t>
            </w:r>
          </w:p>
        </w:tc>
        <w:tc>
          <w:tcPr>
            <w:tcW w:w="79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耐火等级</w:t>
            </w:r>
          </w:p>
        </w:tc>
        <w:tc>
          <w:tcPr>
            <w:tcW w:w="1092"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结构形式</w:t>
            </w:r>
          </w:p>
        </w:tc>
        <w:tc>
          <w:tcPr>
            <w:tcW w:w="1685"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11" w:hRule="exact"/>
        </w:trPr>
        <w:tc>
          <w:tcPr>
            <w:tcW w:w="64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807"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外延芯片厂房</w:t>
            </w:r>
          </w:p>
        </w:tc>
        <w:tc>
          <w:tcPr>
            <w:tcW w:w="122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32453.37</w:t>
            </w:r>
          </w:p>
        </w:tc>
        <w:tc>
          <w:tcPr>
            <w:tcW w:w="103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128"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丙类</w:t>
            </w:r>
          </w:p>
        </w:tc>
        <w:tc>
          <w:tcPr>
            <w:tcW w:w="79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一</w:t>
            </w:r>
          </w:p>
        </w:tc>
        <w:tc>
          <w:tcPr>
            <w:tcW w:w="1092"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混凝土框架</w:t>
            </w:r>
          </w:p>
          <w:p>
            <w:pPr>
              <w:rPr>
                <w:rFonts w:hint="eastAsia" w:ascii="宋体" w:hAnsi="宋体" w:eastAsia="宋体" w:cs="宋体"/>
                <w:color w:val="auto"/>
              </w:rPr>
            </w:pPr>
          </w:p>
        </w:tc>
        <w:tc>
          <w:tcPr>
            <w:tcW w:w="1685" w:type="dxa"/>
            <w:vAlign w:val="center"/>
          </w:tcPr>
          <w:p>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评价范围：氨水回收设备，位于顶层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79" w:hRule="exact"/>
        </w:trPr>
        <w:tc>
          <w:tcPr>
            <w:tcW w:w="64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807"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废气车间</w:t>
            </w:r>
          </w:p>
        </w:tc>
        <w:tc>
          <w:tcPr>
            <w:tcW w:w="122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2065.98</w:t>
            </w:r>
          </w:p>
        </w:tc>
        <w:tc>
          <w:tcPr>
            <w:tcW w:w="103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128"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乙类</w:t>
            </w:r>
          </w:p>
        </w:tc>
        <w:tc>
          <w:tcPr>
            <w:tcW w:w="79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二</w:t>
            </w:r>
          </w:p>
        </w:tc>
        <w:tc>
          <w:tcPr>
            <w:tcW w:w="1092"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门式刚架</w:t>
            </w:r>
          </w:p>
        </w:tc>
        <w:tc>
          <w:tcPr>
            <w:tcW w:w="1685" w:type="dxa"/>
            <w:vAlign w:val="center"/>
          </w:tcPr>
          <w:p>
            <w:pPr>
              <w:spacing w:line="280" w:lineRule="exact"/>
              <w:jc w:val="center"/>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评价范围：氨水储罐6个，每个100m³</w:t>
            </w:r>
          </w:p>
        </w:tc>
      </w:tr>
    </w:tbl>
    <w:p>
      <w:pPr>
        <w:pStyle w:val="16"/>
        <w:adjustRightInd/>
        <w:snapToGrid/>
        <w:spacing w:line="600" w:lineRule="exact"/>
        <w:ind w:firstLine="602"/>
        <w:outlineLvl w:val="2"/>
        <w:rPr>
          <w:rFonts w:hint="eastAsia" w:ascii="宋体" w:hAnsi="宋体" w:eastAsia="宋体" w:cs="宋体"/>
          <w:b/>
          <w:color w:val="auto"/>
          <w:kern w:val="0"/>
          <w:sz w:val="30"/>
          <w:szCs w:val="20"/>
        </w:rPr>
      </w:pPr>
      <w:bookmarkStart w:id="93" w:name="_Toc278143054"/>
      <w:r>
        <w:rPr>
          <w:rFonts w:hint="eastAsia" w:ascii="宋体" w:hAnsi="宋体" w:eastAsia="宋体" w:cs="宋体"/>
          <w:b/>
          <w:color w:val="auto"/>
          <w:kern w:val="0"/>
          <w:sz w:val="30"/>
          <w:szCs w:val="20"/>
        </w:rPr>
        <w:t>2.3.3 竖向</w:t>
      </w:r>
      <w:bookmarkEnd w:id="93"/>
      <w:r>
        <w:rPr>
          <w:rFonts w:hint="eastAsia" w:ascii="宋体" w:hAnsi="宋体" w:eastAsia="宋体" w:cs="宋体"/>
          <w:b/>
          <w:color w:val="auto"/>
          <w:kern w:val="0"/>
          <w:sz w:val="30"/>
          <w:szCs w:val="20"/>
        </w:rPr>
        <w:t>布置</w:t>
      </w:r>
    </w:p>
    <w:p>
      <w:pPr>
        <w:spacing w:line="600" w:lineRule="exact"/>
        <w:ind w:firstLine="560" w:firstLineChars="200"/>
        <w:rPr>
          <w:rFonts w:hint="eastAsia" w:ascii="宋体" w:hAnsi="宋体" w:eastAsia="宋体" w:cs="宋体"/>
          <w:color w:val="auto"/>
        </w:rPr>
      </w:pPr>
      <w:r>
        <w:rPr>
          <w:rFonts w:hint="eastAsia" w:ascii="宋体" w:hAnsi="宋体" w:eastAsia="宋体" w:cs="宋体"/>
          <w:color w:val="auto"/>
        </w:rPr>
        <w:t>该公司厂区场地较为平坦，竖向采用平坡式连贯单坡竖向布置。</w:t>
      </w:r>
    </w:p>
    <w:p>
      <w:pPr>
        <w:pStyle w:val="16"/>
        <w:adjustRightInd/>
        <w:snapToGrid/>
        <w:spacing w:line="600" w:lineRule="exact"/>
        <w:ind w:firstLine="602"/>
        <w:outlineLvl w:val="2"/>
        <w:rPr>
          <w:rFonts w:hint="eastAsia" w:ascii="宋体" w:hAnsi="宋体" w:eastAsia="宋体" w:cs="宋体"/>
          <w:b/>
          <w:color w:val="auto"/>
          <w:kern w:val="0"/>
          <w:sz w:val="30"/>
          <w:szCs w:val="20"/>
        </w:rPr>
      </w:pPr>
      <w:r>
        <w:rPr>
          <w:rFonts w:hint="eastAsia" w:ascii="宋体" w:hAnsi="宋体" w:eastAsia="宋体" w:cs="宋体"/>
          <w:b/>
          <w:color w:val="auto"/>
          <w:kern w:val="0"/>
          <w:sz w:val="30"/>
          <w:szCs w:val="20"/>
        </w:rPr>
        <w:t>2.3.4厂内交通</w:t>
      </w:r>
    </w:p>
    <w:p>
      <w:pPr>
        <w:spacing w:line="600" w:lineRule="exact"/>
        <w:ind w:firstLine="560" w:firstLineChars="200"/>
        <w:rPr>
          <w:rFonts w:hint="eastAsia" w:ascii="宋体" w:hAnsi="宋体" w:eastAsia="宋体" w:cs="宋体"/>
          <w:color w:val="auto"/>
        </w:rPr>
      </w:pPr>
      <w:r>
        <w:rPr>
          <w:rFonts w:hint="eastAsia" w:ascii="宋体" w:hAnsi="宋体" w:eastAsia="宋体" w:cs="宋体"/>
          <w:color w:val="auto"/>
        </w:rPr>
        <w:t>厂区东面设置2个出入口。</w:t>
      </w:r>
    </w:p>
    <w:p>
      <w:pPr>
        <w:spacing w:line="600" w:lineRule="exact"/>
        <w:ind w:firstLine="560" w:firstLineChars="200"/>
        <w:rPr>
          <w:rFonts w:hint="eastAsia" w:ascii="宋体" w:hAnsi="宋体" w:eastAsia="宋体" w:cs="宋体"/>
          <w:color w:val="auto"/>
        </w:rPr>
      </w:pPr>
      <w:r>
        <w:rPr>
          <w:rFonts w:hint="eastAsia" w:ascii="宋体" w:hAnsi="宋体" w:eastAsia="宋体" w:cs="宋体"/>
          <w:color w:val="auto"/>
        </w:rPr>
        <w:t>厂区内形成环形消防通道，</w:t>
      </w:r>
      <w:r>
        <w:rPr>
          <w:rFonts w:hint="eastAsia" w:ascii="宋体" w:hAnsi="宋体" w:eastAsia="宋体" w:cs="宋体"/>
          <w:color w:val="auto"/>
          <w:szCs w:val="28"/>
        </w:rPr>
        <w:t>南面与西面各设置一个出入口，该企业内道路路面</w:t>
      </w:r>
      <w:r>
        <w:rPr>
          <w:rFonts w:hint="eastAsia" w:ascii="宋体" w:hAnsi="宋体" w:eastAsia="宋体" w:cs="宋体"/>
          <w:color w:val="auto"/>
        </w:rPr>
        <w:t>宽为</w:t>
      </w:r>
      <w:r>
        <w:rPr>
          <w:rFonts w:hint="eastAsia" w:ascii="宋体" w:hAnsi="宋体" w:eastAsia="宋体" w:cs="宋体"/>
          <w:color w:val="auto"/>
          <w:lang w:val="en-US" w:eastAsia="zh-CN"/>
        </w:rPr>
        <w:t>10</w:t>
      </w:r>
      <w:r>
        <w:rPr>
          <w:rFonts w:hint="eastAsia" w:ascii="宋体" w:hAnsi="宋体" w:eastAsia="宋体" w:cs="宋体"/>
          <w:color w:val="auto"/>
        </w:rPr>
        <w:t>m和</w:t>
      </w:r>
      <w:r>
        <w:rPr>
          <w:rFonts w:hint="eastAsia" w:ascii="宋体" w:hAnsi="宋体" w:eastAsia="宋体" w:cs="宋体"/>
          <w:color w:val="auto"/>
          <w:lang w:val="en-US" w:eastAsia="zh-CN"/>
        </w:rPr>
        <w:t>6</w:t>
      </w:r>
      <w:r>
        <w:rPr>
          <w:rFonts w:hint="eastAsia" w:ascii="宋体" w:hAnsi="宋体" w:eastAsia="宋体" w:cs="宋体"/>
          <w:color w:val="auto"/>
        </w:rPr>
        <w:t>m，转弯半径为9m和12m，路面结构为混凝土</w:t>
      </w:r>
      <w:r>
        <w:rPr>
          <w:rFonts w:hint="eastAsia" w:ascii="宋体" w:hAnsi="宋体" w:eastAsia="宋体" w:cs="宋体"/>
          <w:color w:val="auto"/>
          <w:szCs w:val="28"/>
        </w:rPr>
        <w:t>路面。</w:t>
      </w:r>
    </w:p>
    <w:p>
      <w:pPr>
        <w:pStyle w:val="16"/>
        <w:adjustRightInd/>
        <w:snapToGrid/>
        <w:spacing w:line="600" w:lineRule="exact"/>
        <w:ind w:firstLine="602"/>
        <w:outlineLvl w:val="2"/>
        <w:rPr>
          <w:rFonts w:hint="eastAsia" w:ascii="宋体" w:hAnsi="宋体" w:eastAsia="宋体" w:cs="宋体"/>
          <w:b/>
          <w:color w:val="auto"/>
          <w:kern w:val="0"/>
          <w:sz w:val="30"/>
          <w:szCs w:val="20"/>
        </w:rPr>
      </w:pPr>
      <w:bookmarkStart w:id="94" w:name="_Toc278143057"/>
      <w:r>
        <w:rPr>
          <w:rFonts w:hint="eastAsia" w:ascii="宋体" w:hAnsi="宋体" w:eastAsia="宋体" w:cs="宋体"/>
          <w:b/>
          <w:color w:val="auto"/>
          <w:kern w:val="0"/>
          <w:sz w:val="30"/>
          <w:szCs w:val="20"/>
        </w:rPr>
        <w:t>2.3.5 防卫（护）设施</w:t>
      </w:r>
      <w:bookmarkEnd w:id="94"/>
    </w:p>
    <w:p>
      <w:pPr>
        <w:numPr>
          <w:ilvl w:val="0"/>
          <w:numId w:val="1"/>
        </w:numPr>
        <w:spacing w:line="600" w:lineRule="exact"/>
        <w:ind w:firstLine="560" w:firstLineChars="200"/>
        <w:rPr>
          <w:rFonts w:hint="eastAsia" w:ascii="宋体" w:hAnsi="宋体" w:eastAsia="宋体" w:cs="宋体"/>
          <w:color w:val="auto"/>
        </w:rPr>
      </w:pPr>
      <w:r>
        <w:rPr>
          <w:rFonts w:hint="eastAsia" w:ascii="宋体" w:hAnsi="宋体" w:eastAsia="宋体" w:cs="宋体"/>
          <w:color w:val="auto"/>
        </w:rPr>
        <w:t>围墙：厂区四周2.2m高围墙与外界分隔开，生产区与生活区用栅栏隔开。</w:t>
      </w:r>
    </w:p>
    <w:p>
      <w:pPr>
        <w:spacing w:line="600" w:lineRule="exact"/>
        <w:ind w:firstLine="560" w:firstLineChars="200"/>
        <w:rPr>
          <w:rFonts w:hint="eastAsia" w:ascii="宋体" w:hAnsi="宋体" w:eastAsia="宋体" w:cs="宋体"/>
          <w:color w:val="auto"/>
        </w:rPr>
      </w:pPr>
      <w:r>
        <w:rPr>
          <w:rFonts w:hint="eastAsia" w:ascii="宋体" w:hAnsi="宋体" w:eastAsia="宋体" w:cs="宋体"/>
          <w:color w:val="auto"/>
        </w:rPr>
        <w:t>2、门卫：厂区入口处设有门卫。</w:t>
      </w:r>
    </w:p>
    <w:p>
      <w:pPr>
        <w:pStyle w:val="7"/>
        <w:spacing w:line="600" w:lineRule="exact"/>
        <w:rPr>
          <w:rFonts w:hint="eastAsia" w:ascii="宋体" w:hAnsi="宋体" w:eastAsia="宋体" w:cs="宋体"/>
          <w:color w:val="auto"/>
          <w:sz w:val="30"/>
          <w:szCs w:val="30"/>
        </w:rPr>
      </w:pPr>
      <w:bookmarkStart w:id="95" w:name="_Toc2870"/>
      <w:bookmarkStart w:id="96" w:name="_Toc525109140"/>
      <w:bookmarkStart w:id="97" w:name="_Toc22121"/>
      <w:bookmarkStart w:id="98" w:name="_Toc14104"/>
      <w:r>
        <w:rPr>
          <w:rFonts w:hint="eastAsia" w:ascii="宋体" w:hAnsi="宋体" w:eastAsia="宋体" w:cs="宋体"/>
          <w:color w:val="auto"/>
          <w:sz w:val="30"/>
          <w:szCs w:val="30"/>
        </w:rPr>
        <w:t>2.4工艺流程及主要设备</w:t>
      </w:r>
      <w:bookmarkEnd w:id="95"/>
      <w:bookmarkEnd w:id="96"/>
      <w:bookmarkEnd w:id="97"/>
      <w:bookmarkEnd w:id="98"/>
    </w:p>
    <w:p>
      <w:pPr>
        <w:pStyle w:val="8"/>
        <w:spacing w:line="600" w:lineRule="exact"/>
        <w:jc w:val="both"/>
        <w:rPr>
          <w:rFonts w:hint="eastAsia" w:ascii="宋体" w:hAnsi="宋体" w:eastAsia="宋体" w:cs="宋体"/>
          <w:b w:val="0"/>
          <w:color w:val="auto"/>
          <w:szCs w:val="28"/>
        </w:rPr>
      </w:pPr>
      <w:bookmarkStart w:id="99" w:name="_Toc11265_WPSOffice_Level3"/>
      <w:bookmarkEnd w:id="99"/>
      <w:bookmarkStart w:id="100" w:name="_Toc204429125"/>
      <w:r>
        <w:rPr>
          <w:rFonts w:hint="eastAsia" w:ascii="宋体" w:hAnsi="宋体" w:eastAsia="宋体" w:cs="宋体"/>
          <w:b w:val="0"/>
          <w:color w:val="auto"/>
          <w:szCs w:val="28"/>
        </w:rPr>
        <w:t>2.4.1工艺流程</w:t>
      </w:r>
    </w:p>
    <w:p>
      <w:pPr>
        <w:adjustRightInd w:val="0"/>
        <w:snapToGrid w:val="0"/>
        <w:ind w:firstLine="560" w:firstLineChars="200"/>
        <w:rPr>
          <w:rFonts w:hint="eastAsia" w:ascii="宋体" w:hAnsi="宋体" w:eastAsia="宋体" w:cs="宋体"/>
          <w:color w:val="auto"/>
          <w:szCs w:val="28"/>
        </w:rPr>
      </w:pPr>
      <w:r>
        <w:rPr>
          <w:rFonts w:hint="eastAsia" w:ascii="宋体" w:hAnsi="宋体" w:eastAsia="宋体" w:cs="宋体"/>
          <w:color w:val="auto"/>
          <w:szCs w:val="28"/>
        </w:rPr>
        <w:t>建设项目设置含氨废气回收系统共</w:t>
      </w:r>
      <w:r>
        <w:rPr>
          <w:rFonts w:hint="eastAsia" w:ascii="宋体" w:hAnsi="宋体" w:eastAsia="宋体" w:cs="宋体"/>
          <w:color w:val="auto"/>
          <w:szCs w:val="28"/>
        </w:rPr>
        <w:t>10</w:t>
      </w:r>
      <w:r>
        <w:rPr>
          <w:rFonts w:hint="eastAsia" w:ascii="宋体" w:hAnsi="宋体" w:eastAsia="宋体" w:cs="宋体"/>
          <w:color w:val="auto"/>
          <w:szCs w:val="28"/>
        </w:rPr>
        <w:t>套，单套系统处理能力为</w:t>
      </w:r>
      <w:r>
        <w:rPr>
          <w:rFonts w:hint="eastAsia" w:ascii="宋体" w:hAnsi="宋体" w:eastAsia="宋体" w:cs="宋体"/>
          <w:color w:val="auto"/>
          <w:szCs w:val="28"/>
        </w:rPr>
        <w:t>1600~1800Kg</w:t>
      </w:r>
      <w:r>
        <w:rPr>
          <w:rFonts w:hint="eastAsia" w:ascii="宋体" w:hAnsi="宋体" w:eastAsia="宋体" w:cs="宋体"/>
          <w:color w:val="auto"/>
          <w:szCs w:val="28"/>
        </w:rPr>
        <w:t>／天，含氨废气</w:t>
      </w:r>
      <w:r>
        <w:rPr>
          <w:rFonts w:hint="eastAsia" w:ascii="宋体" w:hAnsi="宋体" w:eastAsia="宋体" w:cs="宋体"/>
          <w:color w:val="auto"/>
          <w:szCs w:val="28"/>
        </w:rPr>
        <w:t>回收工艺流程图如下所示</w:t>
      </w:r>
      <w:r>
        <w:rPr>
          <w:rFonts w:hint="eastAsia" w:ascii="宋体" w:hAnsi="宋体" w:eastAsia="宋体" w:cs="宋体"/>
          <w:color w:val="auto"/>
          <w:szCs w:val="28"/>
        </w:rPr>
        <w:t>：</w:t>
      </w:r>
    </w:p>
    <w:p>
      <w:pPr>
        <w:widowControl/>
        <w:jc w:val="left"/>
        <w:rPr>
          <w:rFonts w:hint="eastAsia" w:ascii="宋体" w:hAnsi="宋体" w:eastAsia="宋体" w:cs="宋体"/>
          <w:color w:val="auto"/>
        </w:rPr>
        <w:sectPr>
          <w:pgSz w:w="11906" w:h="16838"/>
          <w:pgMar w:top="1418" w:right="1417" w:bottom="1417" w:left="1417" w:header="720" w:footer="720" w:gutter="0"/>
          <w:pgNumType w:fmt="decimal" w:start="1"/>
          <w:cols w:space="720" w:num="1"/>
          <w:docGrid w:type="lines" w:linePitch="312" w:charSpace="0"/>
        </w:sectPr>
      </w:pPr>
    </w:p>
    <w:p>
      <w:pPr>
        <w:pStyle w:val="11"/>
        <w:rPr>
          <w:rFonts w:hint="eastAsia" w:ascii="宋体" w:hAnsi="宋体" w:eastAsia="宋体" w:cs="宋体"/>
          <w:color w:val="auto"/>
        </w:rPr>
      </w:pPr>
      <w:r>
        <w:rPr>
          <w:rFonts w:hint="eastAsia" w:ascii="宋体" w:hAnsi="宋体" w:eastAsia="宋体" w:cs="宋体"/>
          <w:color w:val="auto"/>
        </w:rPr>
        <w:drawing>
          <wp:inline distT="0" distB="0" distL="114300" distR="114300">
            <wp:extent cx="8651240" cy="4787900"/>
            <wp:effectExtent l="0" t="0" r="6985" b="3175"/>
            <wp:docPr id="4" name="图片 95"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5" descr="wps10"/>
                    <pic:cNvPicPr>
                      <a:picLocks noChangeAspect="1"/>
                    </pic:cNvPicPr>
                  </pic:nvPicPr>
                  <pic:blipFill>
                    <a:blip r:embed="rId15"/>
                    <a:stretch>
                      <a:fillRect/>
                    </a:stretch>
                  </pic:blipFill>
                  <pic:spPr>
                    <a:xfrm>
                      <a:off x="0" y="0"/>
                      <a:ext cx="8651240" cy="4787900"/>
                    </a:xfrm>
                    <a:prstGeom prst="rect">
                      <a:avLst/>
                    </a:prstGeom>
                    <a:noFill/>
                    <a:ln>
                      <a:noFill/>
                    </a:ln>
                  </pic:spPr>
                </pic:pic>
              </a:graphicData>
            </a:graphic>
          </wp:inline>
        </w:drawing>
      </w:r>
      <w:r>
        <w:rPr>
          <w:rFonts w:hint="eastAsia" w:ascii="宋体" w:hAnsi="宋体" w:eastAsia="宋体" w:cs="宋体"/>
          <w:color w:val="auto"/>
        </w:rPr>
        <w:t xml:space="preserve"> </w:t>
      </w:r>
    </w:p>
    <w:p>
      <w:pPr>
        <w:jc w:val="center"/>
        <w:rPr>
          <w:rFonts w:hint="eastAsia" w:ascii="宋体" w:hAnsi="宋体" w:eastAsia="宋体" w:cs="宋体"/>
          <w:color w:val="auto"/>
          <w:szCs w:val="28"/>
        </w:rPr>
      </w:pPr>
      <w:r>
        <w:rPr>
          <w:rFonts w:hint="eastAsia" w:ascii="宋体" w:hAnsi="宋体" w:eastAsia="宋体" w:cs="宋体"/>
          <w:color w:val="auto"/>
          <w:szCs w:val="28"/>
        </w:rPr>
        <w:t>图</w:t>
      </w:r>
      <w:r>
        <w:rPr>
          <w:rFonts w:hint="eastAsia" w:ascii="宋体" w:hAnsi="宋体" w:eastAsia="宋体" w:cs="宋体"/>
          <w:color w:val="auto"/>
          <w:szCs w:val="28"/>
        </w:rPr>
        <w:t>2.6</w:t>
      </w:r>
      <w:r>
        <w:rPr>
          <w:rFonts w:hint="eastAsia" w:ascii="宋体" w:hAnsi="宋体" w:eastAsia="宋体" w:cs="宋体"/>
          <w:color w:val="auto"/>
          <w:szCs w:val="28"/>
        </w:rPr>
        <w:t>-</w:t>
      </w:r>
      <w:r>
        <w:rPr>
          <w:rFonts w:hint="eastAsia" w:ascii="宋体" w:hAnsi="宋体" w:eastAsia="宋体" w:cs="宋体"/>
          <w:color w:val="auto"/>
          <w:szCs w:val="28"/>
        </w:rPr>
        <w:t>8</w:t>
      </w:r>
      <w:r>
        <w:rPr>
          <w:rFonts w:hint="eastAsia" w:ascii="宋体" w:hAnsi="宋体" w:eastAsia="宋体" w:cs="宋体"/>
          <w:color w:val="auto"/>
          <w:szCs w:val="28"/>
        </w:rPr>
        <w:t xml:space="preserve"> </w:t>
      </w:r>
      <w:r>
        <w:rPr>
          <w:rFonts w:hint="eastAsia" w:ascii="宋体" w:hAnsi="宋体" w:eastAsia="宋体" w:cs="宋体"/>
          <w:color w:val="auto"/>
          <w:szCs w:val="28"/>
        </w:rPr>
        <w:t>含氨废气</w:t>
      </w:r>
      <w:r>
        <w:rPr>
          <w:rFonts w:hint="eastAsia" w:ascii="宋体" w:hAnsi="宋体" w:eastAsia="宋体" w:cs="宋体"/>
          <w:color w:val="auto"/>
          <w:szCs w:val="28"/>
        </w:rPr>
        <w:t>回收工艺流程图</w:t>
      </w:r>
    </w:p>
    <w:p>
      <w:pPr>
        <w:widowControl/>
        <w:jc w:val="left"/>
        <w:rPr>
          <w:rFonts w:hint="eastAsia" w:ascii="宋体" w:hAnsi="宋体" w:eastAsia="宋体" w:cs="宋体"/>
          <w:color w:val="auto"/>
          <w:szCs w:val="28"/>
        </w:rPr>
        <w:sectPr>
          <w:headerReference r:id="rId9" w:type="default"/>
          <w:footerReference r:id="rId10" w:type="default"/>
          <w:pgSz w:w="16838" w:h="11906" w:orient="landscape"/>
          <w:pgMar w:top="1418" w:right="1418" w:bottom="1418" w:left="1418" w:header="720" w:footer="720" w:gutter="0"/>
          <w:pgNumType w:fmt="decimal"/>
          <w:cols w:space="720" w:num="1"/>
          <w:docGrid w:type="lines" w:linePitch="312" w:charSpace="0"/>
        </w:sectPr>
      </w:pPr>
    </w:p>
    <w:p>
      <w:pPr>
        <w:adjustRightInd w:val="0"/>
        <w:snapToGrid w:val="0"/>
        <w:ind w:firstLine="560" w:firstLineChars="200"/>
        <w:rPr>
          <w:rFonts w:hint="eastAsia" w:ascii="宋体" w:hAnsi="宋体" w:eastAsia="宋体" w:cs="宋体"/>
          <w:color w:val="auto"/>
          <w:szCs w:val="28"/>
        </w:rPr>
      </w:pPr>
      <w:r>
        <w:rPr>
          <w:rFonts w:hint="eastAsia" w:ascii="宋体" w:hAnsi="宋体" w:eastAsia="宋体" w:cs="宋体"/>
          <w:color w:val="auto"/>
          <w:szCs w:val="28"/>
        </w:rPr>
        <w:t>2）工艺流程描述</w:t>
      </w:r>
    </w:p>
    <w:p>
      <w:pPr>
        <w:adjustRightInd w:val="0"/>
        <w:snapToGrid w:val="0"/>
        <w:ind w:firstLine="560" w:firstLineChars="200"/>
        <w:rPr>
          <w:rFonts w:hint="eastAsia" w:ascii="宋体" w:hAnsi="宋体" w:eastAsia="宋体" w:cs="宋体"/>
          <w:color w:val="auto"/>
          <w:szCs w:val="28"/>
        </w:rPr>
      </w:pPr>
      <w:r>
        <w:rPr>
          <w:rFonts w:hint="eastAsia" w:ascii="宋体" w:hAnsi="宋体" w:eastAsia="宋体" w:cs="宋体"/>
          <w:color w:val="auto"/>
          <w:szCs w:val="28"/>
        </w:rPr>
        <w:t>首先含氨废气通过集气管道收集后由漩涡风机增压，在漩涡风机的进气前设置负压表，风机由风机前的负压设定值变频控制。升温后的含氨废气增压后进入板式换热器进行降温，主要是防止废气在管道内的磨擦发热对后序吸收组件产生不可恢复的破坏，并在板式换热器的冷却废气出口分别加装温控仪，用于控制换热后的废气温度温度，一般将含氨废气温度控制在</w:t>
      </w:r>
      <w:r>
        <w:rPr>
          <w:rFonts w:hint="eastAsia" w:ascii="宋体" w:hAnsi="宋体" w:eastAsia="宋体" w:cs="宋体"/>
          <w:color w:val="auto"/>
          <w:szCs w:val="28"/>
        </w:rPr>
        <w:t>50</w:t>
      </w:r>
      <w:r>
        <w:rPr>
          <w:rFonts w:hint="eastAsia" w:ascii="宋体" w:hAnsi="宋体" w:eastAsia="宋体" w:cs="宋体"/>
          <w:color w:val="auto"/>
          <w:szCs w:val="28"/>
        </w:rPr>
        <w:t>度以下就利于后序吸收组件运行。降温后的含氨废气进入五级吸收系统。氨气经五级吸收系统分离脱除，净化后达标排放。</w:t>
      </w:r>
    </w:p>
    <w:p>
      <w:pPr>
        <w:adjustRightInd w:val="0"/>
        <w:snapToGrid w:val="0"/>
        <w:ind w:firstLine="560" w:firstLineChars="200"/>
        <w:rPr>
          <w:rFonts w:hint="eastAsia" w:ascii="宋体" w:hAnsi="宋体" w:eastAsia="宋体" w:cs="宋体"/>
          <w:color w:val="auto"/>
          <w:szCs w:val="28"/>
        </w:rPr>
      </w:pPr>
      <w:r>
        <w:rPr>
          <w:rFonts w:hint="eastAsia" w:ascii="宋体" w:hAnsi="宋体" w:eastAsia="宋体" w:cs="宋体"/>
          <w:color w:val="auto"/>
          <w:szCs w:val="28"/>
        </w:rPr>
        <w:t>氨水回收系统是将超纯水加入一个固定的氨气回收水箱，通过防腐离心泵提升进入氨气吸收系统循环吸收，在进入吸收系统前加一板式换热器，并通过温控仪将换热器后回收水降温到</w:t>
      </w:r>
      <w:r>
        <w:rPr>
          <w:rFonts w:hint="eastAsia" w:ascii="宋体" w:hAnsi="宋体" w:eastAsia="宋体" w:cs="宋体"/>
          <w:color w:val="auto"/>
          <w:szCs w:val="28"/>
        </w:rPr>
        <w:t>5</w:t>
      </w:r>
      <w:r>
        <w:rPr>
          <w:rFonts w:hint="eastAsia" w:ascii="宋体" w:hAnsi="宋体" w:eastAsia="宋体" w:cs="宋体"/>
          <w:color w:val="auto"/>
          <w:szCs w:val="28"/>
        </w:rPr>
        <w:t>度左右，废氨气吸收系统过滤分离后与低温的超纯水等相遇迅速溶于水中形成稀氨水，同时产生大量的反应热，而氨水水温如果过高则会不利于氨水浓度的提升，如此循环工作，直到达到设置于氨气回收水管道上的氨水浓度在线仪所设定氨水浓度设定值后自动排入</w:t>
      </w:r>
      <w:r>
        <w:rPr>
          <w:rFonts w:hint="eastAsia" w:ascii="宋体" w:hAnsi="宋体" w:eastAsia="宋体" w:cs="宋体"/>
          <w:color w:val="auto"/>
          <w:szCs w:val="28"/>
          <w:lang w:val="en-US" w:eastAsia="zh-CN"/>
        </w:rPr>
        <w:t>氨水</w:t>
      </w:r>
      <w:r>
        <w:rPr>
          <w:rFonts w:hint="eastAsia" w:ascii="宋体" w:hAnsi="宋体" w:eastAsia="宋体" w:cs="宋体"/>
          <w:color w:val="auto"/>
          <w:szCs w:val="28"/>
        </w:rPr>
        <w:t>储槽</w:t>
      </w:r>
      <w:r>
        <w:rPr>
          <w:rFonts w:hint="eastAsia" w:ascii="宋体" w:hAnsi="宋体" w:eastAsia="宋体" w:cs="宋体"/>
          <w:color w:val="auto"/>
          <w:szCs w:val="28"/>
        </w:rPr>
        <w:t>。</w:t>
      </w:r>
    </w:p>
    <w:p>
      <w:pPr>
        <w:pStyle w:val="8"/>
        <w:spacing w:line="600" w:lineRule="exact"/>
        <w:jc w:val="both"/>
        <w:rPr>
          <w:rFonts w:hint="eastAsia" w:ascii="宋体" w:hAnsi="宋体" w:eastAsia="宋体" w:cs="宋体"/>
          <w:b w:val="0"/>
          <w:color w:val="auto"/>
          <w:szCs w:val="28"/>
        </w:rPr>
      </w:pPr>
      <w:r>
        <w:rPr>
          <w:rFonts w:hint="eastAsia" w:ascii="宋体" w:hAnsi="宋体" w:eastAsia="宋体" w:cs="宋体"/>
          <w:b w:val="0"/>
          <w:color w:val="auto"/>
          <w:szCs w:val="28"/>
        </w:rPr>
        <w:t>2.4.2主要生产设备</w:t>
      </w:r>
      <w:bookmarkEnd w:id="100"/>
    </w:p>
    <w:p>
      <w:pPr>
        <w:tabs>
          <w:tab w:val="left" w:pos="3570"/>
        </w:tabs>
        <w:spacing w:line="600" w:lineRule="exact"/>
        <w:ind w:firstLine="560" w:firstLineChars="200"/>
        <w:rPr>
          <w:rFonts w:hint="eastAsia" w:ascii="宋体" w:hAnsi="宋体" w:eastAsia="宋体" w:cs="宋体"/>
          <w:color w:val="auto"/>
          <w:szCs w:val="28"/>
        </w:rPr>
      </w:pPr>
      <w:r>
        <w:rPr>
          <w:rFonts w:hint="eastAsia" w:ascii="宋体" w:hAnsi="宋体" w:eastAsia="宋体" w:cs="宋体"/>
          <w:color w:val="auto"/>
          <w:szCs w:val="28"/>
        </w:rPr>
        <w:t>1、主要生产设备</w:t>
      </w:r>
    </w:p>
    <w:p>
      <w:pPr>
        <w:tabs>
          <w:tab w:val="left" w:pos="3570"/>
        </w:tabs>
        <w:spacing w:line="600" w:lineRule="exact"/>
        <w:ind w:firstLine="560" w:firstLineChars="200"/>
        <w:rPr>
          <w:rFonts w:hint="eastAsia" w:ascii="宋体" w:hAnsi="宋体" w:eastAsia="宋体" w:cs="宋体"/>
          <w:color w:val="auto"/>
          <w:szCs w:val="28"/>
        </w:rPr>
      </w:pPr>
      <w:r>
        <w:rPr>
          <w:rFonts w:hint="eastAsia" w:ascii="宋体" w:hAnsi="宋体" w:eastAsia="宋体" w:cs="宋体"/>
          <w:color w:val="auto"/>
          <w:szCs w:val="28"/>
          <w:lang w:val="en-US" w:eastAsia="zh-CN"/>
        </w:rPr>
        <w:t>氨水回收</w:t>
      </w:r>
      <w:r>
        <w:rPr>
          <w:rFonts w:hint="eastAsia" w:ascii="宋体" w:hAnsi="宋体" w:eastAsia="宋体" w:cs="宋体"/>
          <w:color w:val="auto"/>
          <w:szCs w:val="28"/>
          <w:lang w:val="en-GB"/>
        </w:rPr>
        <w:t>主要装置(设备)和设施名称、型号(规格)、材质、数量详见下表</w:t>
      </w:r>
      <w:r>
        <w:rPr>
          <w:rFonts w:hint="eastAsia" w:ascii="宋体" w:hAnsi="宋体" w:eastAsia="宋体" w:cs="宋体"/>
          <w:color w:val="auto"/>
          <w:szCs w:val="28"/>
        </w:rPr>
        <w:t>2.4-1。</w:t>
      </w:r>
    </w:p>
    <w:p>
      <w:pPr>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表2.4-1  主要设备和设施一览表</w:t>
      </w:r>
    </w:p>
    <w:tbl>
      <w:tblPr>
        <w:tblStyle w:val="28"/>
        <w:tblW w:w="9297" w:type="dxa"/>
        <w:tblInd w:w="0" w:type="dxa"/>
        <w:tblLayout w:type="autofit"/>
        <w:tblCellMar>
          <w:top w:w="0" w:type="dxa"/>
          <w:left w:w="108" w:type="dxa"/>
          <w:bottom w:w="0" w:type="dxa"/>
          <w:right w:w="108" w:type="dxa"/>
        </w:tblCellMar>
      </w:tblPr>
      <w:tblGrid>
        <w:gridCol w:w="658"/>
        <w:gridCol w:w="2583"/>
        <w:gridCol w:w="4958"/>
        <w:gridCol w:w="513"/>
        <w:gridCol w:w="585"/>
      </w:tblGrid>
      <w:tr>
        <w:tblPrEx>
          <w:tblCellMar>
            <w:top w:w="0" w:type="dxa"/>
            <w:left w:w="108" w:type="dxa"/>
            <w:bottom w:w="0" w:type="dxa"/>
            <w:right w:w="108" w:type="dxa"/>
          </w:tblCellMar>
        </w:tblPrEx>
        <w:trPr>
          <w:trHeight w:val="55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序号</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设备材料名称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规格</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单位</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用量</w:t>
            </w:r>
          </w:p>
        </w:tc>
      </w:tr>
      <w:tr>
        <w:tblPrEx>
          <w:tblCellMar>
            <w:top w:w="0" w:type="dxa"/>
            <w:left w:w="108" w:type="dxa"/>
            <w:bottom w:w="0" w:type="dxa"/>
            <w:right w:w="108" w:type="dxa"/>
          </w:tblCellMar>
        </w:tblPrEx>
        <w:trPr>
          <w:trHeight w:val="474" w:hRule="atLeast"/>
        </w:trPr>
        <w:tc>
          <w:tcPr>
            <w:tcW w:w="0" w:type="auto"/>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一、膜回收主设备（2合1系统，共5大套系统）</w:t>
            </w:r>
          </w:p>
        </w:tc>
      </w:tr>
      <w:tr>
        <w:tblPrEx>
          <w:tblCellMar>
            <w:top w:w="0" w:type="dxa"/>
            <w:left w:w="108" w:type="dxa"/>
            <w:bottom w:w="0" w:type="dxa"/>
            <w:right w:w="108" w:type="dxa"/>
          </w:tblCellMar>
        </w:tblPrEx>
        <w:trPr>
          <w:trHeight w:val="53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一</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氨气增压及冷却保护系统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bCs/>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bCs/>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bCs/>
                <w:color w:val="auto"/>
                <w:sz w:val="22"/>
                <w:szCs w:val="22"/>
              </w:rPr>
            </w:pPr>
          </w:p>
        </w:tc>
      </w:tr>
      <w:tr>
        <w:tblPrEx>
          <w:tblCellMar>
            <w:top w:w="0" w:type="dxa"/>
            <w:left w:w="108" w:type="dxa"/>
            <w:bottom w:w="0" w:type="dxa"/>
            <w:right w:w="108" w:type="dxa"/>
          </w:tblCellMar>
        </w:tblPrEx>
        <w:trPr>
          <w:trHeight w:val="53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漩涡防爆风机（含变频器）</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2用1备，功率：18.5KW；最大风压：46Kpa；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风机冷却板换系统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材质：SUS316L；含温度可调阀，DDC控制等</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数显压力控制系统（防爆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测量范围：-3Kpa-1Kpa；输出信号：4-20Ma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数显压力控制系统防爆）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测量范围：0-100Kpa；输出信号：4-20Ma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50微米氨气过滤系统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D600*H1000mm</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30微米氨气过滤系统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D600*H1000mm</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数显温度控制系统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监控范围：0-100℃；输出信号：4-20Ma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r>
      <w:tr>
        <w:tblPrEx>
          <w:tblCellMar>
            <w:top w:w="0" w:type="dxa"/>
            <w:left w:w="108" w:type="dxa"/>
            <w:bottom w:w="0" w:type="dxa"/>
            <w:right w:w="108" w:type="dxa"/>
          </w:tblCellMar>
        </w:tblPrEx>
        <w:trPr>
          <w:trHeight w:val="53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防爆过滤器之间压力控制系统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测量范围：0-100Kpa；输出信号：4-20Ma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二</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一级氨气回收系统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氨气回收系统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含一次成型保温，16支膜</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氨水循环箱</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V=2m</w:t>
            </w:r>
            <w:r>
              <w:rPr>
                <w:rStyle w:val="56"/>
                <w:rFonts w:hint="eastAsia" w:ascii="宋体" w:hAnsi="宋体" w:eastAsia="宋体" w:cs="宋体"/>
                <w:color w:val="auto"/>
                <w:lang w:bidi="ar"/>
              </w:rPr>
              <w:t>³</w:t>
            </w:r>
            <w:r>
              <w:rPr>
                <w:rStyle w:val="57"/>
                <w:rFonts w:hint="eastAsia" w:ascii="宋体" w:hAnsi="宋体" w:eastAsia="宋体" w:cs="宋体"/>
                <w:color w:val="auto"/>
                <w:lang w:bidi="ar"/>
              </w:rPr>
              <w:t xml:space="preserve"> 材质：FRP，保温10cm外加不锈钢皮</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防爆压差液位计</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量程：0-20Kpa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防爆三通阀</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DN65；PN1.0</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防爆氨水循环泵</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型号：MPH440，0.37KW；材质：工程塑料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氨水板式冷却系统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材质：SUS316；温度显示</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7</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氨水浓度计</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输出信号：4-20Ma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三</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二级氨气回收系统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氨气回收系统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含一次成型保温，16支膜</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氨水循环箱</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V=2m</w:t>
            </w:r>
            <w:r>
              <w:rPr>
                <w:rStyle w:val="56"/>
                <w:rFonts w:hint="eastAsia" w:ascii="宋体" w:hAnsi="宋体" w:eastAsia="宋体" w:cs="宋体"/>
                <w:color w:val="auto"/>
                <w:lang w:bidi="ar"/>
              </w:rPr>
              <w:t>³</w:t>
            </w:r>
            <w:r>
              <w:rPr>
                <w:rStyle w:val="57"/>
                <w:rFonts w:hint="eastAsia" w:ascii="宋体" w:hAnsi="宋体" w:eastAsia="宋体" w:cs="宋体"/>
                <w:color w:val="auto"/>
                <w:lang w:bidi="ar"/>
              </w:rPr>
              <w:t xml:space="preserve"> 材质：FRP，保温10cm外加不锈钢皮</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防爆压差液位计</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量程：0-20Kpa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防爆三通阀</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DN65；PN1.0</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防爆氨水循环泵</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型号：MPH440，0.37KW；材质：工程塑料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氨水板式冷却系统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材质：SUS316；温度显示</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四</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三级氨气回收系统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氨气回收系统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含一次成型保温，16支膜</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氨水循环箱</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V=2m</w:t>
            </w:r>
            <w:r>
              <w:rPr>
                <w:rStyle w:val="56"/>
                <w:rFonts w:hint="eastAsia" w:ascii="宋体" w:hAnsi="宋体" w:eastAsia="宋体" w:cs="宋体"/>
                <w:color w:val="auto"/>
                <w:lang w:bidi="ar"/>
              </w:rPr>
              <w:t>³</w:t>
            </w:r>
            <w:r>
              <w:rPr>
                <w:rStyle w:val="57"/>
                <w:rFonts w:hint="eastAsia" w:ascii="宋体" w:hAnsi="宋体" w:eastAsia="宋体" w:cs="宋体"/>
                <w:color w:val="auto"/>
                <w:lang w:bidi="ar"/>
              </w:rPr>
              <w:t xml:space="preserve"> 材质：FRP，保温10cm外加不锈钢皮</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防爆压差液位计</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量程：0-20Kpa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防爆三通阀</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DN65；PN1.0</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防爆氨水循环泵</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型号：MPH440，0.37KW；材质：工程塑料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氨水板式冷却系统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材质：SUS316；温度显示；</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五</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四级氨气回收系统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氨气回收系统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含一次成型保温，16支膜</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氨水循环箱</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V=2m</w:t>
            </w:r>
            <w:r>
              <w:rPr>
                <w:rStyle w:val="56"/>
                <w:rFonts w:hint="eastAsia" w:ascii="宋体" w:hAnsi="宋体" w:eastAsia="宋体" w:cs="宋体"/>
                <w:color w:val="auto"/>
                <w:lang w:bidi="ar"/>
              </w:rPr>
              <w:t>³</w:t>
            </w:r>
            <w:r>
              <w:rPr>
                <w:rStyle w:val="57"/>
                <w:rFonts w:hint="eastAsia" w:ascii="宋体" w:hAnsi="宋体" w:eastAsia="宋体" w:cs="宋体"/>
                <w:color w:val="auto"/>
                <w:lang w:bidi="ar"/>
              </w:rPr>
              <w:t xml:space="preserve"> 材质：FRP，保温10cm外加不锈钢皮</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防爆压差液位计</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量程：0-20Kpa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防爆三通阀</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DN65；PN1.0</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防爆氨水循环泵</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型号：MPH440，0.37KW；材质：工程塑料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氨水板式冷却系统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材质：SUS316；含温度可调阀，DDC控制等</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六</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五级氨气回收系统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氨气回收系统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含一次成型保温，16支膜</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氨水循环箱</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V=3m</w:t>
            </w:r>
            <w:r>
              <w:rPr>
                <w:rStyle w:val="56"/>
                <w:rFonts w:hint="eastAsia" w:ascii="宋体" w:hAnsi="宋体" w:eastAsia="宋体" w:cs="宋体"/>
                <w:color w:val="auto"/>
                <w:lang w:bidi="ar"/>
              </w:rPr>
              <w:t>³</w:t>
            </w:r>
            <w:r>
              <w:rPr>
                <w:rStyle w:val="57"/>
                <w:rFonts w:hint="eastAsia" w:ascii="宋体" w:hAnsi="宋体" w:eastAsia="宋体" w:cs="宋体"/>
                <w:color w:val="auto"/>
                <w:lang w:bidi="ar"/>
              </w:rPr>
              <w:t xml:space="preserve"> 材质：FRP，保温10cm外加不锈钢皮</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防爆压差液位计</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量程：0-20Kpa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防爆三通阀</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DN65；PN1.0</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防爆补水阀</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DN25；PN1.0</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防爆氨水循环泵</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型号：MPH440，0.37KW；材质：工程塑料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7</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氨水板式冷却系统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材质：SUS316；含温度可调阀，DDC控制等</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七</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安装材料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PVC管阀件</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各型号，管材、阀门、阀件等及系统安装</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风机至板换管路</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各型号，管材、阀门、阀件等及系统安装</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冰水管路</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各型号，管材、阀门、阀件等及系统安装</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保温材料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橡塑棉及其他保温材料等</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八</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低排系统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低排系统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由1个低排水箱及2个低排泵组成</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九</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电控系统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53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PLC程序控制</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含数字输入输出模块；模拟量输入输出模块；电源模块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组</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5</w:t>
            </w:r>
          </w:p>
        </w:tc>
      </w:tr>
      <w:tr>
        <w:tblPrEx>
          <w:tblCellMar>
            <w:top w:w="0" w:type="dxa"/>
            <w:left w:w="108" w:type="dxa"/>
            <w:bottom w:w="0" w:type="dxa"/>
            <w:right w:w="108" w:type="dxa"/>
          </w:tblCellMar>
        </w:tblPrEx>
        <w:trPr>
          <w:trHeight w:val="60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电气、电缆及桥架系统安装</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各型号，电缆、桥架、导线等安装</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配电柜</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国标烤漆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触控电脑</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国产</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低压电器</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其它辅助材料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式</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5</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7</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其他配件</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式</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5</w:t>
            </w:r>
          </w:p>
        </w:tc>
      </w:tr>
      <w:tr>
        <w:tblPrEx>
          <w:tblCellMar>
            <w:top w:w="0" w:type="dxa"/>
            <w:left w:w="108" w:type="dxa"/>
            <w:bottom w:w="0" w:type="dxa"/>
            <w:right w:w="108" w:type="dxa"/>
          </w:tblCellMar>
        </w:tblPrEx>
        <w:trPr>
          <w:trHeight w:val="474" w:hRule="atLeast"/>
        </w:trPr>
        <w:tc>
          <w:tcPr>
            <w:tcW w:w="0" w:type="auto"/>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二、膜回收制冷、储槽及其他系统</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一</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制冷系统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55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制冰主机（螺杆型中温乙二醇机组）</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59KW，温度可调</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strike w:val="0"/>
                <w:color w:val="auto"/>
                <w:sz w:val="22"/>
                <w:szCs w:val="22"/>
                <w:lang w:val="en-US" w:eastAsia="zh-CN"/>
              </w:rPr>
            </w:pPr>
            <w:r>
              <w:rPr>
                <w:rFonts w:hint="eastAsia" w:ascii="宋体" w:hAnsi="宋体" w:eastAsia="宋体" w:cs="宋体"/>
                <w:strike w:val="0"/>
                <w:dstrike w:val="0"/>
                <w:color w:val="auto"/>
                <w:kern w:val="0"/>
                <w:sz w:val="22"/>
                <w:szCs w:val="22"/>
                <w:lang w:val="en-US" w:eastAsia="zh-CN" w:bidi="ar"/>
              </w:rPr>
              <w:t xml:space="preserve"> </w:t>
            </w:r>
            <w:r>
              <w:rPr>
                <w:rFonts w:hint="eastAsia" w:ascii="宋体" w:hAnsi="宋体" w:eastAsia="宋体" w:cs="宋体"/>
                <w:strike w:val="0"/>
                <w:dstrike w:val="0"/>
                <w:color w:val="auto"/>
                <w:kern w:val="0"/>
                <w:sz w:val="22"/>
                <w:szCs w:val="22"/>
                <w:lang w:val="en-US" w:eastAsia="zh-CN" w:bidi="ar"/>
              </w:rPr>
              <w:t>6</w:t>
            </w:r>
          </w:p>
        </w:tc>
      </w:tr>
      <w:tr>
        <w:tblPrEx>
          <w:tblCellMar>
            <w:top w:w="0" w:type="dxa"/>
            <w:left w:w="108" w:type="dxa"/>
            <w:bottom w:w="0" w:type="dxa"/>
            <w:right w:w="108" w:type="dxa"/>
          </w:tblCellMar>
        </w:tblPrEx>
        <w:trPr>
          <w:trHeight w:val="55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低温型乙二醇循环泵（含变频）</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流量65m</w:t>
            </w:r>
            <w:r>
              <w:rPr>
                <w:rStyle w:val="56"/>
                <w:rFonts w:hint="eastAsia" w:ascii="宋体" w:hAnsi="宋体" w:eastAsia="宋体" w:cs="宋体"/>
                <w:color w:val="auto"/>
                <w:lang w:bidi="ar"/>
              </w:rPr>
              <w:t>³</w:t>
            </w:r>
            <w:r>
              <w:rPr>
                <w:rStyle w:val="57"/>
                <w:rFonts w:hint="eastAsia" w:ascii="宋体" w:hAnsi="宋体" w:eastAsia="宋体" w:cs="宋体"/>
                <w:color w:val="auto"/>
                <w:lang w:bidi="ar"/>
              </w:rPr>
              <w:t>；扬程40米；耗功7.5kw/H</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4</w:t>
            </w:r>
          </w:p>
        </w:tc>
      </w:tr>
      <w:tr>
        <w:tblPrEx>
          <w:tblCellMar>
            <w:top w:w="0" w:type="dxa"/>
            <w:left w:w="108" w:type="dxa"/>
            <w:bottom w:w="0" w:type="dxa"/>
            <w:right w:w="108" w:type="dxa"/>
          </w:tblCellMar>
        </w:tblPrEx>
        <w:trPr>
          <w:trHeight w:val="56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乙二醇缓冲罐(含保温及数显液位等)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不锈钢材质，聚氨酯保温，V=3m</w:t>
            </w:r>
            <w:r>
              <w:rPr>
                <w:rStyle w:val="56"/>
                <w:rFonts w:hint="eastAsia" w:ascii="宋体" w:hAnsi="宋体" w:eastAsia="宋体" w:cs="宋体"/>
                <w:color w:val="auto"/>
                <w:lang w:bidi="ar"/>
              </w:rPr>
              <w:t>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2</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冷却水系统材料及安装 </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各型号，管材、阀门、阀件等及系统安装</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2</w:t>
            </w:r>
          </w:p>
        </w:tc>
      </w:tr>
      <w:tr>
        <w:tblPrEx>
          <w:tblCellMar>
            <w:top w:w="0" w:type="dxa"/>
            <w:left w:w="108" w:type="dxa"/>
            <w:bottom w:w="0" w:type="dxa"/>
            <w:right w:w="108" w:type="dxa"/>
          </w:tblCellMar>
        </w:tblPrEx>
        <w:trPr>
          <w:trHeight w:val="53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乙二醇冷媒系统材料及安装</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含管道阀门、仪表、防腐保温等，按照标准配置</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2</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冰河冷媒溶液</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涤纶级，浓度99.9%</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式</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2</w:t>
            </w:r>
          </w:p>
        </w:tc>
      </w:tr>
      <w:tr>
        <w:tblPrEx>
          <w:tblCellMar>
            <w:top w:w="0" w:type="dxa"/>
            <w:left w:w="108" w:type="dxa"/>
            <w:bottom w:w="0" w:type="dxa"/>
            <w:right w:w="108" w:type="dxa"/>
          </w:tblCellMar>
        </w:tblPrEx>
        <w:trPr>
          <w:trHeight w:val="53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7</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电气、电缆及桥架系统安装</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各型号，电缆、桥架、导线等安装</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2</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电气控制系统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组合件</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2</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二</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膜反洗系统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清洗水箱</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PE；1000L</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2</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清洗泵</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功率：4.0KW；材质：CDL16-40</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strike w:val="0"/>
                <w:color w:val="auto"/>
                <w:sz w:val="22"/>
                <w:szCs w:val="22"/>
                <w:lang w:val="en-US" w:eastAsia="zh-CN"/>
              </w:rPr>
            </w:pPr>
            <w:r>
              <w:rPr>
                <w:rFonts w:hint="eastAsia" w:ascii="宋体" w:hAnsi="宋体" w:eastAsia="宋体" w:cs="宋体"/>
                <w:strike w:val="0"/>
                <w:dstrike w:val="0"/>
                <w:color w:val="auto"/>
                <w:kern w:val="0"/>
                <w:sz w:val="22"/>
                <w:szCs w:val="22"/>
                <w:lang w:val="en-US" w:eastAsia="zh-CN" w:bidi="ar"/>
              </w:rPr>
              <w:t xml:space="preserve"> </w:t>
            </w:r>
            <w:r>
              <w:rPr>
                <w:rFonts w:hint="eastAsia" w:ascii="宋体" w:hAnsi="宋体" w:eastAsia="宋体" w:cs="宋体"/>
                <w:strike w:val="0"/>
                <w:dstrike w:val="0"/>
                <w:color w:val="auto"/>
                <w:kern w:val="0"/>
                <w:sz w:val="22"/>
                <w:szCs w:val="22"/>
                <w:lang w:val="en-US" w:eastAsia="zh-CN" w:bidi="ar"/>
              </w:rPr>
              <w:t>2</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管阀件</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含安装及支架</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式</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strike w:val="0"/>
                <w:color w:val="auto"/>
                <w:sz w:val="22"/>
                <w:szCs w:val="22"/>
                <w:lang w:val="en-US" w:eastAsia="zh-CN"/>
              </w:rPr>
            </w:pPr>
            <w:r>
              <w:rPr>
                <w:rFonts w:hint="eastAsia" w:ascii="宋体" w:hAnsi="宋体" w:eastAsia="宋体" w:cs="宋体"/>
                <w:strike w:val="0"/>
                <w:dstrike w:val="0"/>
                <w:color w:val="auto"/>
                <w:kern w:val="0"/>
                <w:sz w:val="22"/>
                <w:szCs w:val="22"/>
                <w:lang w:val="en-US" w:eastAsia="zh-CN" w:bidi="ar"/>
              </w:rPr>
              <w:t xml:space="preserve"> </w:t>
            </w:r>
            <w:r>
              <w:rPr>
                <w:rFonts w:hint="eastAsia" w:ascii="宋体" w:hAnsi="宋体" w:eastAsia="宋体" w:cs="宋体"/>
                <w:strike w:val="0"/>
                <w:dstrike w:val="0"/>
                <w:color w:val="auto"/>
                <w:kern w:val="0"/>
                <w:sz w:val="22"/>
                <w:szCs w:val="22"/>
                <w:lang w:val="en-US" w:eastAsia="zh-CN" w:bidi="ar"/>
              </w:rPr>
              <w:t>2</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三</w:t>
            </w:r>
          </w:p>
        </w:tc>
        <w:tc>
          <w:tcPr>
            <w:tcW w:w="0" w:type="auto"/>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氨水储槽、输送及计量系统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55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氨水储槽（D4000*H8000mm)</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Q235碳钢内衬PRP,100立方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bidi="ar"/>
              </w:rPr>
              <w:t>6</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压差液位计</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量程：0-80Kpa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bidi="ar"/>
              </w:rPr>
              <w:t>6</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氨水输送泵</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功率：2.2KW；材质：工程塑料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bidi="ar"/>
              </w:rPr>
              <w:t>6</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涡街流量计</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SUS316；显示瞬时及累积流量</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电控系统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管道保温</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9</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PVC管阀件</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各型号，管材、阀门、阀件等及系统安装</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四</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远程控制系统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上位机</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21寸</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r>
      <w:tr>
        <w:tblPrEx>
          <w:tblCellMar>
            <w:top w:w="0" w:type="dxa"/>
            <w:left w:w="108" w:type="dxa"/>
            <w:bottom w:w="0" w:type="dxa"/>
            <w:right w:w="108" w:type="dxa"/>
          </w:tblCellMar>
        </w:tblPrEx>
        <w:trPr>
          <w:trHeight w:val="474" w:hRule="atLeast"/>
        </w:trPr>
        <w:tc>
          <w:tcPr>
            <w:tcW w:w="0" w:type="auto"/>
            <w:gridSpan w:val="5"/>
            <w:tcBorders>
              <w:top w:val="single" w:color="000000" w:sz="4" w:space="0"/>
              <w:left w:val="single" w:color="000000" w:sz="4" w:space="0"/>
              <w:bottom w:val="single" w:color="000000" w:sz="4" w:space="0"/>
              <w:right w:val="nil"/>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三、水洗回收系统部分</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一</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水洗塔部分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水洗塔</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 xml:space="preserve"> 材质：FRP；尺寸：600*4500mm；</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FRP过滤网</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材质：FRP</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片</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16</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电动三通阀</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DN50；材质：UPVC/SUS316L</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洗涤塔区底部防漏盘</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组</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循环泵</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功率：0.75KW；工程塑料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16</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板式换热器</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温度差20℃；过流材质：SUS316L</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7</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隔膜压力表</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量程：0-20Kpa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16</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冷却水管</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口径：DN25-80；材质：镀锌</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式</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9</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保温及材料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等级：B1；厚度：3cm</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式</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进水电磁阀</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口径DN25。材质SUS316L</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循环泵底座</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碳钢烤漆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式</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二</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风机部分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53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FRP排风机</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功率：7.5KW；单台风量1500m³；轴心材质：S45C；外壳材质：FRP</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变频电机</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功率：7.5KW；380v</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风机底座</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碳钢烤漆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式</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单向阀</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DN200</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个</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三</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FRP管道及烟囱部分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风机前总管</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口径DN300；材质FRP</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米</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各氨回收出气管道</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口径DN150；材质FRP</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米</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300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风机至水洗设备管道</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口径DN300；材质FRP</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米</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水洗塔至烟囱管道</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口径DN300；材质FRP</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米</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烟囱</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口径DN300；材质FRP</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米</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前道管路支架</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碳钢烤漆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式</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7</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烟囱支架</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碳钢烤漆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式</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四</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安装材料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PVC管阀件</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各型号，管材、阀门、阀件等及系统安装</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保温保温及材料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橡塑棉及其他保温材料等</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管道支架及五金辅件</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国标碳钢、C型钢、P型夹、油漆等</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式</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22</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五</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电控系统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53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PLC程序控制</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含数字输入输出模块；模拟量输入输出模块；电源模块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组</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1</w:t>
            </w:r>
          </w:p>
        </w:tc>
      </w:tr>
      <w:tr>
        <w:tblPrEx>
          <w:tblCellMar>
            <w:top w:w="0" w:type="dxa"/>
            <w:left w:w="108" w:type="dxa"/>
            <w:bottom w:w="0" w:type="dxa"/>
            <w:right w:w="108" w:type="dxa"/>
          </w:tblCellMar>
        </w:tblPrEx>
        <w:trPr>
          <w:trHeight w:val="53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电气、电缆及桥架系统安装</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各型号，电缆、桥架、导线等安装</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1</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配电柜</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国标烤漆</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1</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触控电脑</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含触控软件</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1</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低压电器</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各种规格</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批</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1</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其它辅助材料</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各种规格</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式</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1</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六</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bidi="ar"/>
              </w:rPr>
              <w:t>设备仪表</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color w:val="auto"/>
                <w:sz w:val="22"/>
                <w:szCs w:val="22"/>
              </w:rPr>
            </w:pPr>
          </w:p>
        </w:tc>
      </w:tr>
      <w:tr>
        <w:tblPrEx>
          <w:tblCellMar>
            <w:top w:w="0" w:type="dxa"/>
            <w:left w:w="108" w:type="dxa"/>
            <w:bottom w:w="0" w:type="dxa"/>
            <w:right w:w="108" w:type="dxa"/>
          </w:tblCellMar>
        </w:tblPrEx>
        <w:trPr>
          <w:trHeight w:val="53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数显压力控制系统（负压）</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测量范围：-3Kpa-0Kpa；输出信号：4-20Ma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r>
      <w:tr>
        <w:tblPrEx>
          <w:tblCellMar>
            <w:top w:w="0" w:type="dxa"/>
            <w:left w:w="108" w:type="dxa"/>
            <w:bottom w:w="0" w:type="dxa"/>
            <w:right w:w="108" w:type="dxa"/>
          </w:tblCellMar>
        </w:tblPrEx>
        <w:trPr>
          <w:trHeight w:val="53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数显压力控制系统（正压）</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测量范围：0-100Kpa；输出信号：4-20Ma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r>
      <w:tr>
        <w:tblPrEx>
          <w:tblCellMar>
            <w:top w:w="0" w:type="dxa"/>
            <w:left w:w="108" w:type="dxa"/>
            <w:bottom w:w="0" w:type="dxa"/>
            <w:right w:w="108" w:type="dxa"/>
          </w:tblCellMar>
        </w:tblPrEx>
        <w:trPr>
          <w:trHeight w:val="47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数显温度控制系统</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监控范围：0-100℃；输出信号：4-20Ma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strike w:val="0"/>
                <w:color w:val="auto"/>
                <w:sz w:val="22"/>
                <w:szCs w:val="22"/>
                <w:lang w:val="en-US" w:eastAsia="zh-CN"/>
              </w:rPr>
            </w:pPr>
            <w:r>
              <w:rPr>
                <w:rFonts w:hint="eastAsia" w:ascii="宋体" w:hAnsi="宋体" w:eastAsia="宋体" w:cs="宋体"/>
                <w:strike w:val="0"/>
                <w:dstrike w:val="0"/>
                <w:color w:val="auto"/>
                <w:kern w:val="0"/>
                <w:sz w:val="22"/>
                <w:szCs w:val="22"/>
                <w:lang w:val="en-US" w:eastAsia="zh-CN" w:bidi="ar"/>
              </w:rPr>
              <w:t xml:space="preserve"> </w:t>
            </w:r>
            <w:r>
              <w:rPr>
                <w:rFonts w:hint="eastAsia" w:ascii="宋体" w:hAnsi="宋体" w:eastAsia="宋体" w:cs="宋体"/>
                <w:strike w:val="0"/>
                <w:dstrike w:val="0"/>
                <w:color w:val="auto"/>
                <w:kern w:val="0"/>
                <w:sz w:val="22"/>
                <w:szCs w:val="22"/>
                <w:lang w:val="en-US" w:eastAsia="zh-CN" w:bidi="ar"/>
              </w:rPr>
              <w:t>8</w:t>
            </w:r>
          </w:p>
        </w:tc>
      </w:tr>
      <w:tr>
        <w:tblPrEx>
          <w:tblCellMar>
            <w:top w:w="0" w:type="dxa"/>
            <w:left w:w="108" w:type="dxa"/>
            <w:bottom w:w="0" w:type="dxa"/>
            <w:right w:w="108" w:type="dxa"/>
          </w:tblCellMar>
        </w:tblPrEx>
        <w:trPr>
          <w:trHeight w:val="48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压差液位计</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量程：0-20Kpa</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r>
    </w:tbl>
    <w:p>
      <w:pPr>
        <w:pageBreakBefore w:val="0"/>
        <w:tabs>
          <w:tab w:val="left" w:pos="3570"/>
        </w:tabs>
        <w:kinsoku/>
        <w:wordWrap/>
        <w:overflowPunct/>
        <w:topLinePunct w:val="0"/>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lang w:val="en-GB"/>
        </w:rPr>
        <w:t>2、</w:t>
      </w:r>
      <w:r>
        <w:rPr>
          <w:rFonts w:hint="eastAsia" w:ascii="宋体" w:hAnsi="宋体" w:eastAsia="宋体" w:cs="宋体"/>
          <w:color w:val="auto"/>
          <w:szCs w:val="28"/>
        </w:rPr>
        <w:t>特种设备</w:t>
      </w:r>
    </w:p>
    <w:p>
      <w:pPr>
        <w:pageBreakBefore w:val="0"/>
        <w:kinsoku/>
        <w:wordWrap/>
        <w:overflowPunct/>
        <w:topLinePunct w:val="0"/>
        <w:bidi w:val="0"/>
        <w:spacing w:line="600" w:lineRule="exact"/>
        <w:ind w:firstLine="560" w:firstLineChars="200"/>
        <w:jc w:val="left"/>
        <w:textAlignment w:val="auto"/>
        <w:rPr>
          <w:rFonts w:hint="eastAsia" w:ascii="宋体" w:hAnsi="宋体" w:eastAsia="宋体" w:cs="宋体"/>
          <w:color w:val="auto"/>
          <w:sz w:val="24"/>
        </w:rPr>
      </w:pPr>
      <w:r>
        <w:rPr>
          <w:rFonts w:hint="eastAsia" w:ascii="宋体" w:hAnsi="宋体" w:eastAsia="宋体" w:cs="宋体"/>
          <w:bCs/>
          <w:color w:val="auto"/>
          <w:szCs w:val="28"/>
        </w:rPr>
        <w:t>本评价报告不涉及特种设备。</w:t>
      </w:r>
    </w:p>
    <w:p>
      <w:pPr>
        <w:pStyle w:val="7"/>
        <w:pageBreakBefore w:val="0"/>
        <w:kinsoku/>
        <w:wordWrap/>
        <w:overflowPunct/>
        <w:topLinePunct w:val="0"/>
        <w:bidi w:val="0"/>
        <w:adjustRightInd w:val="0"/>
        <w:snapToGrid w:val="0"/>
        <w:spacing w:line="600" w:lineRule="exact"/>
        <w:jc w:val="both"/>
        <w:textAlignment w:val="auto"/>
        <w:rPr>
          <w:rFonts w:hint="eastAsia" w:ascii="宋体" w:hAnsi="宋体" w:eastAsia="宋体" w:cs="宋体"/>
          <w:color w:val="auto"/>
        </w:rPr>
      </w:pPr>
      <w:bookmarkStart w:id="101" w:name="_Toc2537"/>
      <w:bookmarkStart w:id="102" w:name="_Toc525109141"/>
      <w:bookmarkStart w:id="103" w:name="_Toc32549"/>
      <w:bookmarkStart w:id="104" w:name="_Toc17699"/>
      <w:bookmarkStart w:id="105" w:name="_Toc204429127"/>
      <w:r>
        <w:rPr>
          <w:rFonts w:hint="eastAsia" w:ascii="宋体" w:hAnsi="宋体" w:eastAsia="宋体" w:cs="宋体"/>
          <w:color w:val="auto"/>
        </w:rPr>
        <w:t>2.5公用工程</w:t>
      </w:r>
      <w:bookmarkEnd w:id="101"/>
      <w:bookmarkEnd w:id="102"/>
      <w:bookmarkEnd w:id="103"/>
      <w:bookmarkEnd w:id="104"/>
    </w:p>
    <w:p>
      <w:pPr>
        <w:pStyle w:val="8"/>
        <w:pageBreakBefore w:val="0"/>
        <w:kinsoku/>
        <w:wordWrap/>
        <w:overflowPunct/>
        <w:topLinePunct w:val="0"/>
        <w:bidi w:val="0"/>
        <w:spacing w:line="600" w:lineRule="exact"/>
        <w:jc w:val="both"/>
        <w:textAlignment w:val="auto"/>
        <w:rPr>
          <w:rFonts w:hint="eastAsia" w:ascii="宋体" w:hAnsi="宋体" w:eastAsia="宋体" w:cs="宋体"/>
          <w:b w:val="0"/>
          <w:color w:val="auto"/>
          <w:szCs w:val="28"/>
        </w:rPr>
      </w:pPr>
      <w:r>
        <w:rPr>
          <w:rFonts w:hint="eastAsia" w:ascii="宋体" w:hAnsi="宋体" w:eastAsia="宋体" w:cs="宋体"/>
          <w:b w:val="0"/>
          <w:color w:val="auto"/>
          <w:szCs w:val="28"/>
        </w:rPr>
        <w:t>2.5.1给排水</w:t>
      </w:r>
      <w:bookmarkEnd w:id="105"/>
    </w:p>
    <w:p>
      <w:pPr>
        <w:pageBreakBefore w:val="0"/>
        <w:kinsoku/>
        <w:wordWrap/>
        <w:overflowPunct/>
        <w:topLinePunct w:val="0"/>
        <w:bidi w:val="0"/>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1、供水水源</w:t>
      </w:r>
    </w:p>
    <w:p>
      <w:pPr>
        <w:pStyle w:val="58"/>
        <w:pageBreakBefore w:val="0"/>
        <w:kinsoku/>
        <w:wordWrap/>
        <w:overflowPunct/>
        <w:topLinePunct w:val="0"/>
        <w:bidi w:val="0"/>
        <w:snapToGrid w:val="0"/>
        <w:spacing w:line="600" w:lineRule="exact"/>
        <w:ind w:right="14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建设项目采用市政自来水为给水水源。由地块南侧天祥大道接入一根</w:t>
      </w:r>
      <w:r>
        <w:rPr>
          <w:rFonts w:hint="eastAsia" w:ascii="宋体" w:hAnsi="宋体" w:eastAsia="宋体" w:cs="宋体"/>
          <w:color w:val="auto"/>
          <w:sz w:val="28"/>
          <w:szCs w:val="28"/>
        </w:rPr>
        <w:t>DN500</w:t>
      </w:r>
      <w:r>
        <w:rPr>
          <w:rFonts w:hint="eastAsia" w:ascii="宋体" w:hAnsi="宋体" w:eastAsia="宋体" w:cs="宋体"/>
          <w:color w:val="auto"/>
          <w:sz w:val="28"/>
          <w:szCs w:val="28"/>
        </w:rPr>
        <w:t>市政自来水管道，水压不小于</w:t>
      </w:r>
      <w:r>
        <w:rPr>
          <w:rFonts w:hint="eastAsia" w:ascii="宋体" w:hAnsi="宋体" w:eastAsia="宋体" w:cs="宋体"/>
          <w:color w:val="auto"/>
          <w:sz w:val="28"/>
          <w:szCs w:val="28"/>
        </w:rPr>
        <w:t>0.3MPa</w:t>
      </w:r>
      <w:r>
        <w:rPr>
          <w:rFonts w:hint="eastAsia" w:ascii="宋体" w:hAnsi="宋体" w:eastAsia="宋体" w:cs="宋体"/>
          <w:color w:val="auto"/>
          <w:sz w:val="28"/>
          <w:szCs w:val="28"/>
        </w:rPr>
        <w:t>。</w:t>
      </w:r>
    </w:p>
    <w:p>
      <w:pPr>
        <w:pageBreakBefore w:val="0"/>
        <w:kinsoku/>
        <w:wordWrap/>
        <w:overflowPunct/>
        <w:topLinePunct w:val="0"/>
        <w:bidi w:val="0"/>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2、给水系统</w:t>
      </w:r>
    </w:p>
    <w:p>
      <w:pPr>
        <w:pageBreakBefore w:val="0"/>
        <w:kinsoku/>
        <w:wordWrap/>
        <w:overflowPunct/>
        <w:topLinePunct w:val="0"/>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 生活用水</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生产区生活给水：用水标准取</w:t>
      </w:r>
      <w:r>
        <w:rPr>
          <w:rFonts w:hint="eastAsia" w:ascii="宋体" w:hAnsi="宋体" w:eastAsia="宋体" w:cs="宋体"/>
          <w:color w:val="auto"/>
          <w:szCs w:val="28"/>
        </w:rPr>
        <w:t>40</w:t>
      </w:r>
      <w:r>
        <w:rPr>
          <w:rFonts w:hint="eastAsia" w:ascii="宋体" w:hAnsi="宋体" w:eastAsia="宋体" w:cs="宋体"/>
          <w:color w:val="auto"/>
          <w:szCs w:val="28"/>
        </w:rPr>
        <w:t xml:space="preserve"> L</w:t>
      </w:r>
      <w:r>
        <w:rPr>
          <w:rFonts w:hint="eastAsia" w:ascii="宋体" w:hAnsi="宋体" w:eastAsia="宋体" w:cs="宋体"/>
          <w:color w:val="auto"/>
          <w:szCs w:val="28"/>
        </w:rPr>
        <w:t>/</w:t>
      </w:r>
      <w:r>
        <w:rPr>
          <w:rFonts w:hint="eastAsia" w:ascii="宋体" w:hAnsi="宋体" w:eastAsia="宋体" w:cs="宋体"/>
          <w:color w:val="auto"/>
          <w:szCs w:val="28"/>
        </w:rPr>
        <w:t>（</w:t>
      </w:r>
      <w:r>
        <w:rPr>
          <w:rFonts w:hint="eastAsia" w:ascii="宋体" w:hAnsi="宋体" w:eastAsia="宋体" w:cs="宋体"/>
          <w:color w:val="auto"/>
          <w:szCs w:val="28"/>
        </w:rPr>
        <w:t>d·</w:t>
      </w:r>
      <w:r>
        <w:rPr>
          <w:rFonts w:hint="eastAsia" w:ascii="宋体" w:hAnsi="宋体" w:eastAsia="宋体" w:cs="宋体"/>
          <w:color w:val="auto"/>
          <w:szCs w:val="28"/>
        </w:rPr>
        <w:t>班</w:t>
      </w:r>
      <w:r>
        <w:rPr>
          <w:rFonts w:hint="eastAsia" w:ascii="宋体" w:hAnsi="宋体" w:eastAsia="宋体" w:cs="宋体"/>
          <w:color w:val="auto"/>
          <w:szCs w:val="28"/>
        </w:rPr>
        <w:t>）</w:t>
      </w:r>
      <w:r>
        <w:rPr>
          <w:rFonts w:hint="eastAsia" w:ascii="宋体" w:hAnsi="宋体" w:eastAsia="宋体" w:cs="宋体"/>
          <w:color w:val="auto"/>
          <w:szCs w:val="28"/>
        </w:rPr>
        <w:t>。上班员工总人数共</w:t>
      </w:r>
      <w:r>
        <w:rPr>
          <w:rFonts w:hint="eastAsia" w:ascii="宋体" w:hAnsi="宋体" w:eastAsia="宋体" w:cs="宋体"/>
          <w:color w:val="auto"/>
          <w:szCs w:val="28"/>
        </w:rPr>
        <w:t>2</w:t>
      </w:r>
      <w:r>
        <w:rPr>
          <w:rFonts w:hint="eastAsia" w:ascii="宋体" w:hAnsi="宋体" w:eastAsia="宋体" w:cs="宋体"/>
          <w:color w:val="auto"/>
          <w:szCs w:val="28"/>
        </w:rPr>
        <w:t>000</w:t>
      </w:r>
      <w:r>
        <w:rPr>
          <w:rFonts w:hint="eastAsia" w:ascii="宋体" w:hAnsi="宋体" w:eastAsia="宋体" w:cs="宋体"/>
          <w:color w:val="auto"/>
          <w:szCs w:val="28"/>
        </w:rPr>
        <w:t>人，</w:t>
      </w:r>
      <w:r>
        <w:rPr>
          <w:rFonts w:hint="eastAsia" w:ascii="宋体" w:hAnsi="宋体" w:eastAsia="宋体" w:cs="宋体"/>
          <w:color w:val="auto"/>
          <w:szCs w:val="28"/>
        </w:rPr>
        <w:t>两</w:t>
      </w:r>
      <w:r>
        <w:rPr>
          <w:rFonts w:hint="eastAsia" w:ascii="宋体" w:hAnsi="宋体" w:eastAsia="宋体" w:cs="宋体"/>
          <w:color w:val="auto"/>
          <w:szCs w:val="28"/>
        </w:rPr>
        <w:t>班</w:t>
      </w:r>
      <w:r>
        <w:rPr>
          <w:rFonts w:hint="eastAsia" w:ascii="宋体" w:hAnsi="宋体" w:eastAsia="宋体" w:cs="宋体"/>
          <w:color w:val="auto"/>
          <w:szCs w:val="28"/>
        </w:rPr>
        <w:t>两</w:t>
      </w:r>
      <w:r>
        <w:rPr>
          <w:rFonts w:hint="eastAsia" w:ascii="宋体" w:hAnsi="宋体" w:eastAsia="宋体" w:cs="宋体"/>
          <w:color w:val="auto"/>
          <w:szCs w:val="28"/>
        </w:rPr>
        <w:t>运转，</w:t>
      </w:r>
      <w:r>
        <w:rPr>
          <w:rFonts w:hint="eastAsia" w:ascii="宋体" w:hAnsi="宋体" w:eastAsia="宋体" w:cs="宋体"/>
          <w:color w:val="auto"/>
          <w:szCs w:val="28"/>
        </w:rPr>
        <w:t>厂区一线员工人数约为</w:t>
      </w:r>
      <w:r>
        <w:rPr>
          <w:rFonts w:hint="eastAsia" w:ascii="宋体" w:hAnsi="宋体" w:eastAsia="宋体" w:cs="宋体"/>
          <w:color w:val="auto"/>
          <w:szCs w:val="28"/>
        </w:rPr>
        <w:t>1300</w:t>
      </w:r>
      <w:r>
        <w:rPr>
          <w:rFonts w:hint="eastAsia" w:ascii="宋体" w:hAnsi="宋体" w:eastAsia="宋体" w:cs="宋体"/>
          <w:color w:val="auto"/>
          <w:szCs w:val="28"/>
        </w:rPr>
        <w:t>人</w:t>
      </w:r>
      <w:r>
        <w:rPr>
          <w:rFonts w:hint="eastAsia" w:ascii="宋体" w:hAnsi="宋体" w:eastAsia="宋体" w:cs="宋体"/>
          <w:color w:val="auto"/>
          <w:szCs w:val="28"/>
        </w:rPr>
        <w:t>，小时变化系数</w:t>
      </w:r>
      <w:r>
        <w:rPr>
          <w:rFonts w:hint="eastAsia" w:ascii="宋体" w:hAnsi="宋体" w:eastAsia="宋体" w:cs="宋体"/>
          <w:color w:val="auto"/>
          <w:szCs w:val="28"/>
        </w:rPr>
        <w:t>Kh</w:t>
      </w:r>
      <w:r>
        <w:rPr>
          <w:rFonts w:hint="eastAsia" w:ascii="宋体" w:hAnsi="宋体" w:eastAsia="宋体" w:cs="宋体"/>
          <w:color w:val="auto"/>
          <w:szCs w:val="28"/>
        </w:rPr>
        <w:t>取</w:t>
      </w:r>
      <w:r>
        <w:rPr>
          <w:rFonts w:hint="eastAsia" w:ascii="宋体" w:hAnsi="宋体" w:eastAsia="宋体" w:cs="宋体"/>
          <w:color w:val="auto"/>
          <w:szCs w:val="28"/>
        </w:rPr>
        <w:t>2.5</w:t>
      </w:r>
      <w:r>
        <w:rPr>
          <w:rFonts w:hint="eastAsia" w:ascii="宋体" w:hAnsi="宋体" w:eastAsia="宋体" w:cs="宋体"/>
          <w:color w:val="auto"/>
          <w:szCs w:val="28"/>
        </w:rPr>
        <w:t>；生活用冲厕用水采用</w:t>
      </w:r>
      <w:r>
        <w:rPr>
          <w:rFonts w:hint="eastAsia" w:ascii="宋体" w:hAnsi="宋体" w:eastAsia="宋体" w:cs="宋体"/>
          <w:color w:val="auto"/>
          <w:szCs w:val="28"/>
        </w:rPr>
        <w:t>RO</w:t>
      </w:r>
      <w:r>
        <w:rPr>
          <w:rFonts w:hint="eastAsia" w:ascii="宋体" w:hAnsi="宋体" w:eastAsia="宋体" w:cs="宋体"/>
          <w:color w:val="auto"/>
          <w:szCs w:val="28"/>
        </w:rPr>
        <w:t>浓水，其他生活用水采用市政自来水。生活用水量最高日</w:t>
      </w:r>
      <w:r>
        <w:rPr>
          <w:rFonts w:hint="eastAsia" w:ascii="宋体" w:hAnsi="宋体" w:eastAsia="宋体" w:cs="宋体"/>
          <w:color w:val="auto"/>
          <w:szCs w:val="28"/>
        </w:rPr>
        <w:t>200.0m</w:t>
      </w:r>
      <w:r>
        <w:rPr>
          <w:rFonts w:hint="eastAsia" w:ascii="宋体" w:hAnsi="宋体" w:eastAsia="宋体" w:cs="宋体"/>
          <w:color w:val="auto"/>
          <w:szCs w:val="28"/>
          <w:vertAlign w:val="superscript"/>
        </w:rPr>
        <w:t>3</w:t>
      </w:r>
      <w:r>
        <w:rPr>
          <w:rFonts w:hint="eastAsia" w:ascii="宋体" w:hAnsi="宋体" w:eastAsia="宋体" w:cs="宋体"/>
          <w:color w:val="auto"/>
          <w:szCs w:val="28"/>
        </w:rPr>
        <w:t>/d</w:t>
      </w:r>
      <w:r>
        <w:rPr>
          <w:rFonts w:hint="eastAsia" w:ascii="宋体" w:hAnsi="宋体" w:eastAsia="宋体" w:cs="宋体"/>
          <w:color w:val="auto"/>
          <w:szCs w:val="28"/>
        </w:rPr>
        <w:t>，最大时</w:t>
      </w:r>
      <w:r>
        <w:rPr>
          <w:rFonts w:hint="eastAsia" w:ascii="宋体" w:hAnsi="宋体" w:eastAsia="宋体" w:cs="宋体"/>
          <w:color w:val="auto"/>
          <w:szCs w:val="28"/>
        </w:rPr>
        <w:t>19.2m</w:t>
      </w:r>
      <w:r>
        <w:rPr>
          <w:rFonts w:hint="eastAsia" w:ascii="宋体" w:hAnsi="宋体" w:eastAsia="宋体" w:cs="宋体"/>
          <w:color w:val="auto"/>
          <w:szCs w:val="28"/>
          <w:vertAlign w:val="superscript"/>
        </w:rPr>
        <w:t>3</w:t>
      </w:r>
      <w:r>
        <w:rPr>
          <w:rFonts w:hint="eastAsia" w:ascii="宋体" w:hAnsi="宋体" w:eastAsia="宋体" w:cs="宋体"/>
          <w:color w:val="auto"/>
          <w:szCs w:val="28"/>
        </w:rPr>
        <w:t>/h</w:t>
      </w:r>
      <w:r>
        <w:rPr>
          <w:rFonts w:hint="eastAsia" w:ascii="宋体" w:hAnsi="宋体" w:eastAsia="宋体" w:cs="宋体"/>
          <w:color w:val="auto"/>
          <w:szCs w:val="28"/>
        </w:rPr>
        <w:t>，平均时</w:t>
      </w:r>
      <w:r>
        <w:rPr>
          <w:rFonts w:hint="eastAsia" w:ascii="宋体" w:hAnsi="宋体" w:eastAsia="宋体" w:cs="宋体"/>
          <w:color w:val="auto"/>
          <w:szCs w:val="28"/>
        </w:rPr>
        <w:t>7.7m</w:t>
      </w:r>
      <w:r>
        <w:rPr>
          <w:rFonts w:hint="eastAsia" w:ascii="宋体" w:hAnsi="宋体" w:eastAsia="宋体" w:cs="宋体"/>
          <w:color w:val="auto"/>
          <w:szCs w:val="28"/>
          <w:vertAlign w:val="superscript"/>
        </w:rPr>
        <w:t>3</w:t>
      </w:r>
      <w:r>
        <w:rPr>
          <w:rFonts w:hint="eastAsia" w:ascii="宋体" w:hAnsi="宋体" w:eastAsia="宋体" w:cs="宋体"/>
          <w:color w:val="auto"/>
          <w:szCs w:val="28"/>
        </w:rPr>
        <w:t>/h</w:t>
      </w:r>
      <w:r>
        <w:rPr>
          <w:rFonts w:hint="eastAsia" w:ascii="宋体" w:hAnsi="宋体" w:eastAsia="宋体" w:cs="宋体"/>
          <w:color w:val="auto"/>
          <w:szCs w:val="28"/>
        </w:rPr>
        <w:t>。冲厕用</w:t>
      </w:r>
      <w:r>
        <w:rPr>
          <w:rFonts w:hint="eastAsia" w:ascii="宋体" w:hAnsi="宋体" w:eastAsia="宋体" w:cs="宋体"/>
          <w:color w:val="auto"/>
          <w:szCs w:val="28"/>
        </w:rPr>
        <w:t>RO</w:t>
      </w:r>
      <w:r>
        <w:rPr>
          <w:rFonts w:hint="eastAsia" w:ascii="宋体" w:hAnsi="宋体" w:eastAsia="宋体" w:cs="宋体"/>
          <w:color w:val="auto"/>
          <w:szCs w:val="28"/>
        </w:rPr>
        <w:t>浓水回用冲厕，其余用自来水供给。中水用水量按生活用水量</w:t>
      </w:r>
      <w:r>
        <w:rPr>
          <w:rFonts w:hint="eastAsia" w:ascii="宋体" w:hAnsi="宋体" w:eastAsia="宋体" w:cs="宋体"/>
          <w:color w:val="auto"/>
          <w:szCs w:val="28"/>
        </w:rPr>
        <w:t>20%</w:t>
      </w:r>
      <w:r>
        <w:rPr>
          <w:rFonts w:hint="eastAsia" w:ascii="宋体" w:hAnsi="宋体" w:eastAsia="宋体" w:cs="宋体"/>
          <w:color w:val="auto"/>
          <w:szCs w:val="28"/>
        </w:rPr>
        <w:t>考虑最高日</w:t>
      </w:r>
      <w:r>
        <w:rPr>
          <w:rFonts w:hint="eastAsia" w:ascii="宋体" w:hAnsi="宋体" w:eastAsia="宋体" w:cs="宋体"/>
          <w:color w:val="auto"/>
          <w:szCs w:val="28"/>
        </w:rPr>
        <w:t>40.0m</w:t>
      </w:r>
      <w:r>
        <w:rPr>
          <w:rFonts w:hint="eastAsia" w:ascii="宋体" w:hAnsi="宋体" w:eastAsia="宋体" w:cs="宋体"/>
          <w:color w:val="auto"/>
          <w:szCs w:val="28"/>
          <w:vertAlign w:val="superscript"/>
        </w:rPr>
        <w:t>3</w:t>
      </w:r>
      <w:r>
        <w:rPr>
          <w:rFonts w:hint="eastAsia" w:ascii="宋体" w:hAnsi="宋体" w:eastAsia="宋体" w:cs="宋体"/>
          <w:color w:val="auto"/>
          <w:szCs w:val="28"/>
        </w:rPr>
        <w:t>/d</w:t>
      </w:r>
      <w:r>
        <w:rPr>
          <w:rFonts w:hint="eastAsia" w:ascii="宋体" w:hAnsi="宋体" w:eastAsia="宋体" w:cs="宋体"/>
          <w:color w:val="auto"/>
          <w:szCs w:val="28"/>
        </w:rPr>
        <w:t>，最大时</w:t>
      </w:r>
      <w:r>
        <w:rPr>
          <w:rFonts w:hint="eastAsia" w:ascii="宋体" w:hAnsi="宋体" w:eastAsia="宋体" w:cs="宋体"/>
          <w:color w:val="auto"/>
          <w:szCs w:val="28"/>
        </w:rPr>
        <w:t>4.0m</w:t>
      </w:r>
      <w:r>
        <w:rPr>
          <w:rFonts w:hint="eastAsia" w:ascii="宋体" w:hAnsi="宋体" w:eastAsia="宋体" w:cs="宋体"/>
          <w:color w:val="auto"/>
          <w:szCs w:val="28"/>
          <w:vertAlign w:val="superscript"/>
        </w:rPr>
        <w:t>3</w:t>
      </w:r>
      <w:r>
        <w:rPr>
          <w:rFonts w:hint="eastAsia" w:ascii="宋体" w:hAnsi="宋体" w:eastAsia="宋体" w:cs="宋体"/>
          <w:color w:val="auto"/>
          <w:szCs w:val="28"/>
        </w:rPr>
        <w:t>/h</w:t>
      </w:r>
      <w:r>
        <w:rPr>
          <w:rFonts w:hint="eastAsia" w:ascii="宋体" w:hAnsi="宋体" w:eastAsia="宋体" w:cs="宋体"/>
          <w:color w:val="auto"/>
          <w:szCs w:val="28"/>
        </w:rPr>
        <w:t>，平均时</w:t>
      </w:r>
      <w:r>
        <w:rPr>
          <w:rFonts w:hint="eastAsia" w:ascii="宋体" w:hAnsi="宋体" w:eastAsia="宋体" w:cs="宋体"/>
          <w:color w:val="auto"/>
          <w:szCs w:val="28"/>
        </w:rPr>
        <w:t>1.5m</w:t>
      </w:r>
      <w:r>
        <w:rPr>
          <w:rFonts w:hint="eastAsia" w:ascii="宋体" w:hAnsi="宋体" w:eastAsia="宋体" w:cs="宋体"/>
          <w:color w:val="auto"/>
          <w:szCs w:val="28"/>
          <w:vertAlign w:val="superscript"/>
        </w:rPr>
        <w:t>3</w:t>
      </w:r>
      <w:r>
        <w:rPr>
          <w:rFonts w:hint="eastAsia" w:ascii="宋体" w:hAnsi="宋体" w:eastAsia="宋体" w:cs="宋体"/>
          <w:color w:val="auto"/>
          <w:szCs w:val="28"/>
        </w:rPr>
        <w:t>/h</w:t>
      </w:r>
      <w:r>
        <w:rPr>
          <w:rFonts w:hint="eastAsia" w:ascii="宋体" w:hAnsi="宋体" w:eastAsia="宋体" w:cs="宋体"/>
          <w:color w:val="auto"/>
          <w:szCs w:val="28"/>
        </w:rPr>
        <w:t>。</w:t>
      </w:r>
    </w:p>
    <w:p>
      <w:pPr>
        <w:pageBreakBefore w:val="0"/>
        <w:kinsoku/>
        <w:wordWrap/>
        <w:overflowPunct/>
        <w:topLinePunct w:val="0"/>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2） 消防用水</w:t>
      </w:r>
    </w:p>
    <w:p>
      <w:pPr>
        <w:pageBreakBefore w:val="0"/>
        <w:kinsoku/>
        <w:wordWrap/>
        <w:overflowPunct/>
        <w:topLinePunct w:val="0"/>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具体见2.6.1消防章节。</w:t>
      </w:r>
    </w:p>
    <w:p>
      <w:pPr>
        <w:pStyle w:val="2"/>
        <w:pageBreakBefore w:val="0"/>
        <w:numPr>
          <w:ilvl w:val="0"/>
          <w:numId w:val="2"/>
        </w:numPr>
        <w:kinsoku/>
        <w:wordWrap/>
        <w:overflowPunct/>
        <w:topLinePunct w:val="0"/>
        <w:bidi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生产用水</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101号外延芯片厂房一般生产用水132m</w:t>
      </w:r>
      <w:r>
        <w:rPr>
          <w:rFonts w:hint="eastAsia" w:ascii="宋体" w:hAnsi="宋体" w:eastAsia="宋体" w:cs="宋体"/>
          <w:color w:val="auto"/>
          <w:szCs w:val="28"/>
          <w:vertAlign w:val="superscript"/>
        </w:rPr>
        <w:t>3</w:t>
      </w:r>
      <w:r>
        <w:rPr>
          <w:rFonts w:hint="eastAsia" w:ascii="宋体" w:hAnsi="宋体" w:eastAsia="宋体" w:cs="宋体"/>
          <w:color w:val="auto"/>
          <w:szCs w:val="28"/>
        </w:rPr>
        <w:t>/h，氨水回收一般用水5m</w:t>
      </w:r>
      <w:r>
        <w:rPr>
          <w:rFonts w:hint="eastAsia" w:ascii="宋体" w:hAnsi="宋体" w:eastAsia="宋体" w:cs="宋体"/>
          <w:color w:val="auto"/>
          <w:szCs w:val="28"/>
          <w:vertAlign w:val="superscript"/>
        </w:rPr>
        <w:t>3</w:t>
      </w:r>
      <w:r>
        <w:rPr>
          <w:rFonts w:hint="eastAsia" w:ascii="宋体" w:hAnsi="宋体" w:eastAsia="宋体" w:cs="宋体"/>
          <w:color w:val="auto"/>
          <w:szCs w:val="28"/>
        </w:rPr>
        <w:t>/h。</w:t>
      </w:r>
      <w:r>
        <w:rPr>
          <w:rFonts w:hint="eastAsia" w:ascii="宋体" w:hAnsi="宋体" w:eastAsia="宋体" w:cs="宋体"/>
          <w:color w:val="auto"/>
          <w:szCs w:val="28"/>
        </w:rPr>
        <w:t>工艺冷却循环水系统统一设置</w:t>
      </w:r>
      <w:r>
        <w:rPr>
          <w:rFonts w:hint="eastAsia" w:ascii="宋体" w:hAnsi="宋体" w:eastAsia="宋体" w:cs="宋体"/>
          <w:color w:val="auto"/>
          <w:szCs w:val="28"/>
        </w:rPr>
        <w:t>循环水</w:t>
      </w:r>
      <w:r>
        <w:rPr>
          <w:rFonts w:hint="eastAsia" w:ascii="宋体" w:hAnsi="宋体" w:eastAsia="宋体" w:cs="宋体"/>
          <w:color w:val="auto"/>
          <w:szCs w:val="28"/>
        </w:rPr>
        <w:t>箱</w:t>
      </w:r>
      <w:r>
        <w:rPr>
          <w:rFonts w:hint="eastAsia" w:ascii="宋体" w:hAnsi="宋体" w:eastAsia="宋体" w:cs="宋体"/>
          <w:color w:val="auto"/>
          <w:szCs w:val="28"/>
        </w:rPr>
        <w:t>4</w:t>
      </w:r>
      <w:r>
        <w:rPr>
          <w:rFonts w:hint="eastAsia" w:ascii="宋体" w:hAnsi="宋体" w:eastAsia="宋体" w:cs="宋体"/>
          <w:color w:val="auto"/>
          <w:szCs w:val="28"/>
        </w:rPr>
        <w:t>座（有效容积</w:t>
      </w:r>
      <w:r>
        <w:rPr>
          <w:rFonts w:hint="eastAsia" w:ascii="宋体" w:hAnsi="宋体" w:eastAsia="宋体" w:cs="宋体"/>
          <w:color w:val="auto"/>
          <w:szCs w:val="28"/>
        </w:rPr>
        <w:t>1600 m</w:t>
      </w:r>
      <w:r>
        <w:rPr>
          <w:rFonts w:hint="eastAsia" w:ascii="宋体" w:hAnsi="宋体" w:eastAsia="宋体" w:cs="宋体"/>
          <w:color w:val="auto"/>
          <w:szCs w:val="28"/>
          <w:vertAlign w:val="superscript"/>
        </w:rPr>
        <w:t>3</w:t>
      </w:r>
      <w:r>
        <w:rPr>
          <w:rFonts w:hint="eastAsia" w:ascii="宋体" w:hAnsi="宋体" w:eastAsia="宋体" w:cs="宋体"/>
          <w:color w:val="auto"/>
          <w:szCs w:val="28"/>
        </w:rPr>
        <w:t>）</w:t>
      </w:r>
    </w:p>
    <w:p>
      <w:pPr>
        <w:pageBreakBefore w:val="0"/>
        <w:kinsoku/>
        <w:wordWrap/>
        <w:overflowPunct/>
        <w:topLinePunct w:val="0"/>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3、排水系统</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bookmarkStart w:id="106" w:name="_Toc204429128"/>
      <w:r>
        <w:rPr>
          <w:rFonts w:hint="eastAsia" w:ascii="宋体" w:hAnsi="宋体" w:eastAsia="宋体" w:cs="宋体"/>
          <w:color w:val="auto"/>
          <w:szCs w:val="28"/>
        </w:rPr>
        <w:t>项目建设地南侧天祥大道、东侧市政路已有或规划有市政雨水、污水排放管道系统，建设项目场地及建筑物的雨水经室内雨水系统及厂区雨水管网收集后排入市政雨水管网；生产废水经废水处理站处理后达到环评要求排放标准后经厂区污水管道排入南侧天祥大道污水管道；生活污水经化粪池处理后排至南侧天祥大道污水管道。</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1）排水方式</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采用雨污水分流的排水体制，且均为暗管重力流系统。</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2）排水量</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建设项目污废水排放量合计约为</w:t>
      </w:r>
      <w:r>
        <w:rPr>
          <w:rFonts w:hint="eastAsia" w:ascii="宋体" w:hAnsi="宋体" w:eastAsia="宋体" w:cs="宋体"/>
          <w:color w:val="auto"/>
          <w:szCs w:val="28"/>
        </w:rPr>
        <w:t>5</w:t>
      </w:r>
      <w:r>
        <w:rPr>
          <w:rFonts w:hint="eastAsia" w:ascii="宋体" w:hAnsi="宋体" w:eastAsia="宋体" w:cs="宋体"/>
          <w:color w:val="auto"/>
          <w:szCs w:val="28"/>
        </w:rPr>
        <w:t>m³/h。</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3）排水系统</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生活污废水系统：生活污废水合流经厂区污水管道收集再由化粪池处理后排入市政污水管道。化粪池选用</w:t>
      </w:r>
      <w:r>
        <w:rPr>
          <w:rFonts w:hint="eastAsia" w:ascii="宋体" w:hAnsi="宋体" w:eastAsia="宋体" w:cs="宋体"/>
          <w:color w:val="auto"/>
          <w:szCs w:val="28"/>
        </w:rPr>
        <w:t>玻璃钢化粪池</w:t>
      </w:r>
      <w:r>
        <w:rPr>
          <w:rFonts w:hint="eastAsia" w:ascii="宋体" w:hAnsi="宋体" w:eastAsia="宋体" w:cs="宋体"/>
          <w:color w:val="auto"/>
          <w:szCs w:val="28"/>
        </w:rPr>
        <w:t>。</w:t>
      </w:r>
    </w:p>
    <w:p>
      <w:pPr>
        <w:pStyle w:val="8"/>
        <w:pageBreakBefore w:val="0"/>
        <w:kinsoku/>
        <w:wordWrap/>
        <w:overflowPunct/>
        <w:topLinePunct w:val="0"/>
        <w:bidi w:val="0"/>
        <w:spacing w:line="600" w:lineRule="exact"/>
        <w:jc w:val="both"/>
        <w:textAlignment w:val="auto"/>
        <w:rPr>
          <w:rFonts w:hint="eastAsia" w:ascii="宋体" w:hAnsi="宋体" w:eastAsia="宋体" w:cs="宋体"/>
          <w:b w:val="0"/>
          <w:color w:val="auto"/>
          <w:szCs w:val="28"/>
        </w:rPr>
      </w:pPr>
      <w:r>
        <w:rPr>
          <w:rFonts w:hint="eastAsia" w:ascii="宋体" w:hAnsi="宋体" w:eastAsia="宋体" w:cs="宋体"/>
          <w:b w:val="0"/>
          <w:color w:val="auto"/>
          <w:szCs w:val="28"/>
        </w:rPr>
        <w:t>2.5.2供电</w:t>
      </w:r>
      <w:bookmarkEnd w:id="106"/>
    </w:p>
    <w:p>
      <w:pPr>
        <w:pageBreakBefore w:val="0"/>
        <w:kinsoku/>
        <w:wordWrap/>
        <w:overflowPunct/>
        <w:topLinePunct w:val="0"/>
        <w:bidi w:val="0"/>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1、供电电源</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bCs/>
          <w:color w:val="auto"/>
          <w:szCs w:val="28"/>
        </w:rPr>
      </w:pPr>
      <w:r>
        <w:rPr>
          <w:rFonts w:hint="eastAsia" w:ascii="宋体" w:hAnsi="宋体" w:eastAsia="宋体" w:cs="宋体"/>
          <w:bCs/>
          <w:color w:val="auto"/>
          <w:szCs w:val="28"/>
        </w:rPr>
        <w:t>本工程从</w:t>
      </w:r>
      <w:r>
        <w:rPr>
          <w:rFonts w:hint="eastAsia" w:ascii="宋体" w:hAnsi="宋体" w:eastAsia="宋体" w:cs="宋体"/>
          <w:color w:val="auto"/>
          <w:szCs w:val="28"/>
        </w:rPr>
        <w:t>电源进线的电压等级确定为</w:t>
      </w:r>
      <w:r>
        <w:rPr>
          <w:rFonts w:hint="eastAsia" w:ascii="宋体" w:hAnsi="宋体" w:eastAsia="宋体" w:cs="宋体"/>
          <w:color w:val="auto"/>
          <w:szCs w:val="28"/>
        </w:rPr>
        <w:t>10kV</w:t>
      </w:r>
      <w:r>
        <w:rPr>
          <w:rFonts w:hint="eastAsia" w:ascii="宋体" w:hAnsi="宋体" w:eastAsia="宋体" w:cs="宋体"/>
          <w:color w:val="auto"/>
          <w:szCs w:val="28"/>
        </w:rPr>
        <w:t>；电源线路由</w:t>
      </w:r>
      <w:r>
        <w:rPr>
          <w:rFonts w:hint="eastAsia" w:ascii="宋体" w:hAnsi="宋体" w:eastAsia="宋体" w:cs="宋体"/>
          <w:color w:val="auto"/>
          <w:kern w:val="0"/>
        </w:rPr>
        <w:t>滁南变</w:t>
      </w:r>
      <w:r>
        <w:rPr>
          <w:rFonts w:hint="eastAsia" w:ascii="宋体" w:hAnsi="宋体" w:eastAsia="宋体" w:cs="宋体"/>
          <w:color w:val="auto"/>
          <w:szCs w:val="28"/>
        </w:rPr>
        <w:t>引来。设置一台型号为SCB13-2500/10的变压器</w:t>
      </w:r>
      <w:r>
        <w:rPr>
          <w:rFonts w:hint="eastAsia" w:ascii="宋体" w:hAnsi="宋体" w:eastAsia="宋体" w:cs="宋体"/>
          <w:color w:val="auto"/>
          <w:kern w:val="0"/>
        </w:rPr>
        <w:t>供应氨水回收</w:t>
      </w:r>
      <w:r>
        <w:rPr>
          <w:rFonts w:hint="eastAsia" w:ascii="宋体" w:hAnsi="宋体" w:eastAsia="宋体" w:cs="宋体"/>
          <w:color w:val="auto"/>
          <w:kern w:val="0"/>
          <w:lang w:val="en-US" w:eastAsia="zh-CN"/>
        </w:rPr>
        <w:t>装置</w:t>
      </w:r>
      <w:r>
        <w:rPr>
          <w:rFonts w:hint="eastAsia" w:ascii="宋体" w:hAnsi="宋体" w:eastAsia="宋体" w:cs="宋体"/>
          <w:color w:val="auto"/>
          <w:kern w:val="0"/>
        </w:rPr>
        <w:t>用电</w:t>
      </w:r>
      <w:r>
        <w:rPr>
          <w:rFonts w:hint="eastAsia" w:ascii="宋体" w:hAnsi="宋体" w:eastAsia="宋体" w:cs="宋体"/>
          <w:color w:val="auto"/>
          <w:kern w:val="0"/>
          <w:lang w:eastAsia="zh-CN"/>
        </w:rPr>
        <w:t>（</w:t>
      </w:r>
      <w:r>
        <w:rPr>
          <w:rFonts w:hint="eastAsia" w:ascii="宋体" w:hAnsi="宋体" w:eastAsia="宋体" w:cs="宋体"/>
          <w:color w:val="auto"/>
          <w:kern w:val="0"/>
          <w:lang w:val="en-US" w:eastAsia="zh-CN"/>
        </w:rPr>
        <w:t>根据2021年8月28日出具的安全验收评价报告，该变压器负荷率约为85%）</w:t>
      </w:r>
      <w:r>
        <w:rPr>
          <w:rFonts w:hint="eastAsia" w:ascii="宋体" w:hAnsi="宋体" w:eastAsia="宋体" w:cs="宋体"/>
          <w:color w:val="auto"/>
          <w:kern w:val="0"/>
        </w:rPr>
        <w:t>。</w:t>
      </w:r>
    </w:p>
    <w:p>
      <w:pPr>
        <w:pageBreakBefore w:val="0"/>
        <w:kinsoku/>
        <w:wordWrap/>
        <w:overflowPunct/>
        <w:topLinePunct w:val="0"/>
        <w:bidi w:val="0"/>
        <w:spacing w:line="600" w:lineRule="exact"/>
        <w:ind w:firstLine="560" w:firstLineChars="200"/>
        <w:textAlignment w:val="auto"/>
        <w:rPr>
          <w:rFonts w:hint="eastAsia" w:ascii="宋体" w:hAnsi="宋体" w:eastAsia="宋体" w:cs="宋体"/>
          <w:bCs/>
          <w:color w:val="auto"/>
          <w:szCs w:val="28"/>
        </w:rPr>
      </w:pPr>
      <w:r>
        <w:rPr>
          <w:rFonts w:hint="eastAsia" w:ascii="宋体" w:hAnsi="宋体" w:eastAsia="宋体" w:cs="宋体"/>
          <w:bCs/>
          <w:color w:val="auto"/>
          <w:szCs w:val="28"/>
        </w:rPr>
        <w:t>2、负荷等级及供电电源可靠性</w:t>
      </w:r>
    </w:p>
    <w:p>
      <w:pPr>
        <w:pageBreakBefore w:val="0"/>
        <w:kinsoku/>
        <w:wordWrap/>
        <w:overflowPunct/>
        <w:topLinePunct w:val="0"/>
        <w:bidi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bCs/>
          <w:color w:val="auto"/>
          <w:szCs w:val="28"/>
        </w:rPr>
        <w:t>该工程总用电设备工作容量约为20</w:t>
      </w:r>
      <w:r>
        <w:rPr>
          <w:rFonts w:hint="eastAsia" w:ascii="宋体" w:hAnsi="宋体" w:eastAsia="宋体" w:cs="宋体"/>
          <w:bCs/>
          <w:color w:val="auto"/>
          <w:szCs w:val="28"/>
          <w:lang w:val="en-US" w:eastAsia="zh-CN"/>
        </w:rPr>
        <w:t>0</w:t>
      </w:r>
      <w:r>
        <w:rPr>
          <w:rFonts w:hint="eastAsia" w:ascii="宋体" w:hAnsi="宋体" w:eastAsia="宋体" w:cs="宋体"/>
          <w:bCs/>
          <w:color w:val="auto"/>
          <w:szCs w:val="28"/>
        </w:rPr>
        <w:t>0KW。该工程</w:t>
      </w:r>
      <w:r>
        <w:rPr>
          <w:rFonts w:hint="eastAsia" w:ascii="宋体" w:hAnsi="宋体" w:eastAsia="宋体" w:cs="宋体"/>
          <w:color w:val="auto"/>
          <w:szCs w:val="28"/>
        </w:rPr>
        <w:t>消防负荷、应急照明为二级负荷（两处电源</w:t>
      </w:r>
      <w:r>
        <w:rPr>
          <w:rFonts w:hint="eastAsia" w:ascii="宋体" w:hAnsi="宋体" w:eastAsia="宋体" w:cs="宋体"/>
          <w:color w:val="auto"/>
          <w:szCs w:val="28"/>
        </w:rPr>
        <w:t>+</w:t>
      </w:r>
      <w:r>
        <w:rPr>
          <w:rFonts w:hint="eastAsia" w:ascii="宋体" w:hAnsi="宋体" w:eastAsia="宋体" w:cs="宋体"/>
          <w:color w:val="auto"/>
          <w:szCs w:val="28"/>
        </w:rPr>
        <w:t>柴油发电机），有毒气体报警系统为一级负荷中特别重要的负荷</w:t>
      </w:r>
      <w:r>
        <w:rPr>
          <w:rFonts w:hint="eastAsia" w:ascii="宋体" w:hAnsi="宋体" w:eastAsia="宋体" w:cs="宋体"/>
          <w:color w:val="auto"/>
          <w:szCs w:val="28"/>
        </w:rPr>
        <w:t>（两处电源</w:t>
      </w:r>
      <w:r>
        <w:rPr>
          <w:rFonts w:hint="eastAsia" w:ascii="宋体" w:hAnsi="宋体" w:eastAsia="宋体" w:cs="宋体"/>
          <w:color w:val="auto"/>
          <w:szCs w:val="28"/>
        </w:rPr>
        <w:t>+</w:t>
      </w:r>
      <w:r>
        <w:rPr>
          <w:rFonts w:hint="eastAsia" w:ascii="宋体" w:hAnsi="宋体" w:eastAsia="宋体" w:cs="宋体"/>
          <w:color w:val="auto"/>
          <w:szCs w:val="28"/>
        </w:rPr>
        <w:t>UPS电源）</w:t>
      </w:r>
      <w:r>
        <w:rPr>
          <w:rFonts w:hint="eastAsia" w:ascii="宋体" w:hAnsi="宋体" w:eastAsia="宋体" w:cs="宋体"/>
          <w:color w:val="auto"/>
          <w:szCs w:val="28"/>
          <w:lang w:eastAsia="zh-CN"/>
        </w:rPr>
        <w:t>（</w:t>
      </w:r>
      <w:r>
        <w:rPr>
          <w:rFonts w:hint="eastAsia" w:ascii="宋体" w:hAnsi="宋体" w:eastAsia="宋体" w:cs="宋体"/>
          <w:color w:val="auto"/>
          <w:szCs w:val="28"/>
          <w:lang w:val="en-US" w:eastAsia="zh-CN"/>
        </w:rPr>
        <w:t>约10KW)</w:t>
      </w:r>
      <w:r>
        <w:rPr>
          <w:rFonts w:hint="eastAsia" w:ascii="宋体" w:hAnsi="宋体" w:eastAsia="宋体" w:cs="宋体"/>
          <w:color w:val="auto"/>
          <w:szCs w:val="28"/>
        </w:rPr>
        <w:t>，其余设备均为三级负荷。</w:t>
      </w:r>
    </w:p>
    <w:p>
      <w:pPr>
        <w:pageBreakBefore w:val="0"/>
        <w:kinsoku/>
        <w:wordWrap/>
        <w:overflowPunct/>
        <w:topLinePunct w:val="0"/>
        <w:bidi w:val="0"/>
        <w:spacing w:line="600" w:lineRule="exact"/>
        <w:ind w:firstLine="560" w:firstLineChars="200"/>
        <w:textAlignment w:val="auto"/>
        <w:rPr>
          <w:rFonts w:hint="eastAsia" w:ascii="宋体" w:hAnsi="宋体" w:eastAsia="宋体" w:cs="宋体"/>
          <w:bCs/>
          <w:color w:val="auto"/>
          <w:szCs w:val="28"/>
        </w:rPr>
      </w:pPr>
      <w:r>
        <w:rPr>
          <w:rFonts w:hint="eastAsia" w:ascii="宋体" w:hAnsi="宋体" w:eastAsia="宋体" w:cs="宋体"/>
          <w:bCs/>
          <w:color w:val="auto"/>
          <w:szCs w:val="28"/>
        </w:rPr>
        <w:t>3、配电间、低压配电装置及继电保护</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配电设备选用落地型动力配电箱为主，小容量用电设备选用小型挂墙式动力配电箱配电。动力配电箱内主开关选用断路器或隔离开关，支路出线开关选用断路器作短路及过载保护。</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风机、水泵的保护采用</w:t>
      </w:r>
      <w:r>
        <w:rPr>
          <w:rFonts w:hint="eastAsia" w:ascii="宋体" w:hAnsi="宋体" w:eastAsia="宋体" w:cs="宋体"/>
          <w:color w:val="auto"/>
          <w:szCs w:val="28"/>
        </w:rPr>
        <w:t>热继电器</w:t>
      </w:r>
      <w:r>
        <w:rPr>
          <w:rFonts w:hint="eastAsia" w:ascii="宋体" w:hAnsi="宋体" w:eastAsia="宋体" w:cs="宋体"/>
          <w:color w:val="auto"/>
          <w:szCs w:val="28"/>
        </w:rPr>
        <w:t>保护装置或根据动力要求采用变频调速。</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变频器不带旁路开关，从驱动器到电机的电缆长度保持为最长</w:t>
      </w:r>
      <w:r>
        <w:rPr>
          <w:rFonts w:hint="eastAsia" w:ascii="宋体" w:hAnsi="宋体" w:eastAsia="宋体" w:cs="宋体"/>
          <w:color w:val="auto"/>
          <w:szCs w:val="28"/>
        </w:rPr>
        <w:t>15</w:t>
      </w:r>
      <w:r>
        <w:rPr>
          <w:rFonts w:hint="eastAsia" w:ascii="宋体" w:hAnsi="宋体" w:eastAsia="宋体" w:cs="宋体"/>
          <w:color w:val="auto"/>
          <w:szCs w:val="28"/>
        </w:rPr>
        <w:t>米，从而降低电机的电气噪音。</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有远距离控制的电动设备，在电动机旁设置检修开关或控制按钮，供设备检修时隔离电路用，保证维修人员安全。</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lang w:eastAsia="zh-CN"/>
        </w:rPr>
      </w:pPr>
      <w:r>
        <w:rPr>
          <w:rFonts w:hint="eastAsia" w:ascii="宋体" w:hAnsi="宋体" w:eastAsia="宋体" w:cs="宋体"/>
          <w:color w:val="auto"/>
          <w:szCs w:val="28"/>
        </w:rPr>
        <w:t>动力配电箱至电源插座的配电出线开关选用漏电保护型断路器，漏电动作电流</w:t>
      </w:r>
      <w:r>
        <w:rPr>
          <w:rFonts w:hint="eastAsia" w:ascii="宋体" w:hAnsi="宋体" w:eastAsia="宋体" w:cs="宋体"/>
          <w:color w:val="auto"/>
          <w:szCs w:val="28"/>
        </w:rPr>
        <w:t>Il≤30mA</w:t>
      </w:r>
      <w:r>
        <w:rPr>
          <w:rFonts w:hint="eastAsia" w:ascii="宋体" w:hAnsi="宋体" w:eastAsia="宋体" w:cs="宋体"/>
          <w:color w:val="auto"/>
          <w:szCs w:val="28"/>
        </w:rPr>
        <w:t>，动作时间小于</w:t>
      </w:r>
      <w:r>
        <w:rPr>
          <w:rFonts w:hint="eastAsia" w:ascii="宋体" w:hAnsi="宋体" w:eastAsia="宋体" w:cs="宋体"/>
          <w:color w:val="auto"/>
          <w:szCs w:val="28"/>
        </w:rPr>
        <w:t>0.1</w:t>
      </w:r>
      <w:r>
        <w:rPr>
          <w:rFonts w:hint="eastAsia" w:ascii="宋体" w:hAnsi="宋体" w:eastAsia="宋体" w:cs="宋体"/>
          <w:color w:val="auto"/>
          <w:szCs w:val="28"/>
        </w:rPr>
        <w:t>秒</w:t>
      </w:r>
      <w:r>
        <w:rPr>
          <w:rFonts w:hint="eastAsia" w:ascii="宋体" w:hAnsi="宋体" w:eastAsia="宋体" w:cs="宋体"/>
          <w:color w:val="auto"/>
          <w:szCs w:val="28"/>
          <w:lang w:eastAsia="zh-CN"/>
        </w:rPr>
        <w:t>。</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大容量的工艺设备采用母线槽配电。</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导线选择的原则是满足允许温升、电压损失、机械强度的要求，并留有一定的富裕量。</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建设项目的</w:t>
      </w:r>
      <w:r>
        <w:rPr>
          <w:rFonts w:hint="eastAsia" w:ascii="宋体" w:hAnsi="宋体" w:eastAsia="宋体" w:cs="宋体"/>
          <w:color w:val="auto"/>
          <w:szCs w:val="28"/>
        </w:rPr>
        <w:t>消防电力干线选用</w:t>
      </w:r>
      <w:r>
        <w:rPr>
          <w:rFonts w:hint="eastAsia" w:ascii="宋体" w:hAnsi="宋体" w:eastAsia="宋体" w:cs="宋体"/>
          <w:color w:val="auto"/>
          <w:szCs w:val="28"/>
        </w:rPr>
        <w:t>BBTRZ-0.6/1kV</w:t>
      </w:r>
      <w:r>
        <w:rPr>
          <w:rFonts w:hint="eastAsia" w:ascii="宋体" w:hAnsi="宋体" w:eastAsia="宋体" w:cs="宋体"/>
          <w:color w:val="auto"/>
          <w:szCs w:val="28"/>
        </w:rPr>
        <w:t>型柔性矿物绝缘电缆。消防分支干线选用</w:t>
      </w:r>
      <w:r>
        <w:rPr>
          <w:rFonts w:hint="eastAsia" w:ascii="宋体" w:hAnsi="宋体" w:eastAsia="宋体" w:cs="宋体"/>
          <w:color w:val="auto"/>
          <w:szCs w:val="28"/>
        </w:rPr>
        <w:t>NH-YJY-0.6/1KV</w:t>
      </w:r>
      <w:r>
        <w:rPr>
          <w:rFonts w:hint="eastAsia" w:ascii="宋体" w:hAnsi="宋体" w:eastAsia="宋体" w:cs="宋体"/>
          <w:color w:val="auto"/>
          <w:szCs w:val="28"/>
        </w:rPr>
        <w:t>耐火型电缆，消防支线采用</w:t>
      </w:r>
      <w:r>
        <w:rPr>
          <w:rFonts w:hint="eastAsia" w:ascii="宋体" w:hAnsi="宋体" w:eastAsia="宋体" w:cs="宋体"/>
          <w:color w:val="auto"/>
          <w:szCs w:val="28"/>
        </w:rPr>
        <w:t>NH-BV-750</w:t>
      </w:r>
      <w:r>
        <w:rPr>
          <w:rFonts w:hint="eastAsia" w:ascii="宋体" w:hAnsi="宋体" w:eastAsia="宋体" w:cs="宋体"/>
          <w:color w:val="auto"/>
          <w:szCs w:val="28"/>
        </w:rPr>
        <w:t>型耐火铜芯塑料电线。消防线路的导线选择及其敷设，满足火灾时连续供电的需要。明敷时（包括敷设在吊顶内、桥架内），穿金属导管或采用封闭式金属线槽保护，金属导管或封闭线槽采用防火保护措施；当采用阻燃或耐火电缆并敷设在电缆井、沟内时，可不穿金属导管或封闭式金属线槽保护；当采用矿物绝缘类不燃性电缆时，可直接明敷；暗敷时，穿管并敷设在不然性结构内且保护层厚度不小于</w:t>
      </w:r>
      <w:r>
        <w:rPr>
          <w:rFonts w:hint="eastAsia" w:ascii="宋体" w:hAnsi="宋体" w:eastAsia="宋体" w:cs="宋体"/>
          <w:color w:val="auto"/>
          <w:szCs w:val="28"/>
        </w:rPr>
        <w:t>30mm</w:t>
      </w:r>
      <w:r>
        <w:rPr>
          <w:rFonts w:hint="eastAsia" w:ascii="宋体" w:hAnsi="宋体" w:eastAsia="宋体" w:cs="宋体"/>
          <w:color w:val="auto"/>
          <w:szCs w:val="28"/>
        </w:rPr>
        <w:t>。</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bCs/>
          <w:color w:val="auto"/>
          <w:kern w:val="21"/>
          <w:szCs w:val="28"/>
        </w:rPr>
        <w:t>101外延芯片厂房</w:t>
      </w:r>
      <w:r>
        <w:rPr>
          <w:rFonts w:hint="eastAsia" w:ascii="宋体" w:hAnsi="宋体" w:eastAsia="宋体" w:cs="宋体"/>
          <w:bCs/>
          <w:color w:val="auto"/>
          <w:kern w:val="21"/>
          <w:szCs w:val="28"/>
        </w:rPr>
        <w:t>电力干线、支干线</w:t>
      </w:r>
      <w:r>
        <w:rPr>
          <w:rFonts w:hint="eastAsia" w:ascii="宋体" w:hAnsi="宋体" w:eastAsia="宋体" w:cs="宋体"/>
          <w:bCs/>
          <w:color w:val="auto"/>
          <w:kern w:val="21"/>
          <w:szCs w:val="28"/>
        </w:rPr>
        <w:t>选用</w:t>
      </w:r>
      <w:r>
        <w:rPr>
          <w:rFonts w:hint="eastAsia" w:ascii="宋体" w:hAnsi="宋体" w:eastAsia="宋体" w:cs="宋体"/>
          <w:color w:val="auto"/>
          <w:szCs w:val="28"/>
        </w:rPr>
        <w:t>WDZC-YJV-0.6/1kV</w:t>
      </w:r>
      <w:r>
        <w:rPr>
          <w:rFonts w:hint="eastAsia" w:ascii="宋体" w:hAnsi="宋体" w:eastAsia="宋体" w:cs="宋体"/>
          <w:color w:val="auto"/>
          <w:szCs w:val="28"/>
        </w:rPr>
        <w:t>低烟无卤型铜芯交联电力电缆、其他单体的非防爆区</w:t>
      </w:r>
      <w:r>
        <w:rPr>
          <w:rFonts w:hint="eastAsia" w:ascii="宋体" w:hAnsi="宋体" w:eastAsia="宋体" w:cs="宋体"/>
          <w:color w:val="auto"/>
          <w:szCs w:val="28"/>
        </w:rPr>
        <w:t>电力干线、支干线</w:t>
      </w:r>
      <w:r>
        <w:rPr>
          <w:rFonts w:hint="eastAsia" w:ascii="宋体" w:hAnsi="宋体" w:eastAsia="宋体" w:cs="宋体"/>
          <w:color w:val="auto"/>
          <w:szCs w:val="28"/>
        </w:rPr>
        <w:t>选</w:t>
      </w:r>
      <w:r>
        <w:rPr>
          <w:rFonts w:hint="eastAsia" w:ascii="宋体" w:hAnsi="宋体" w:eastAsia="宋体" w:cs="宋体"/>
          <w:color w:val="auto"/>
          <w:szCs w:val="28"/>
        </w:rPr>
        <w:t>用</w:t>
      </w:r>
      <w:r>
        <w:rPr>
          <w:rFonts w:hint="eastAsia" w:ascii="宋体" w:hAnsi="宋体" w:eastAsia="宋体" w:cs="宋体"/>
          <w:color w:val="auto"/>
          <w:szCs w:val="28"/>
        </w:rPr>
        <w:t>YJV</w:t>
      </w:r>
      <w:r>
        <w:rPr>
          <w:rFonts w:hint="eastAsia" w:ascii="宋体" w:hAnsi="宋体" w:eastAsia="宋体" w:cs="宋体"/>
          <w:color w:val="auto"/>
          <w:szCs w:val="28"/>
        </w:rPr>
        <w:t>－</w:t>
      </w:r>
      <w:r>
        <w:rPr>
          <w:rFonts w:hint="eastAsia" w:ascii="宋体" w:hAnsi="宋体" w:eastAsia="宋体" w:cs="宋体"/>
          <w:color w:val="auto"/>
          <w:szCs w:val="28"/>
        </w:rPr>
        <w:t>0.6/1KV</w:t>
      </w:r>
      <w:r>
        <w:rPr>
          <w:rFonts w:hint="eastAsia" w:ascii="宋体" w:hAnsi="宋体" w:eastAsia="宋体" w:cs="宋体"/>
          <w:color w:val="auto"/>
          <w:szCs w:val="28"/>
        </w:rPr>
        <w:t>铜芯交联塑料电缆，于电缆桥架内敷设，出桥架穿钢管保护。</w:t>
      </w:r>
      <w:r>
        <w:rPr>
          <w:rFonts w:hint="eastAsia" w:ascii="宋体" w:hAnsi="宋体" w:eastAsia="宋体" w:cs="宋体"/>
          <w:color w:val="auto"/>
          <w:szCs w:val="28"/>
        </w:rPr>
        <w:t>防爆区域的干线、支线电缆采用阻燃型电缆，电缆型号为</w:t>
      </w:r>
      <w:r>
        <w:rPr>
          <w:rFonts w:hint="eastAsia" w:ascii="宋体" w:hAnsi="宋体" w:eastAsia="宋体" w:cs="宋体"/>
          <w:color w:val="auto"/>
          <w:szCs w:val="28"/>
        </w:rPr>
        <w:t>ZR-YJV-0.6/1kV</w:t>
      </w:r>
      <w:r>
        <w:rPr>
          <w:rFonts w:hint="eastAsia" w:ascii="宋体" w:hAnsi="宋体" w:eastAsia="宋体" w:cs="宋体"/>
          <w:color w:val="auto"/>
          <w:szCs w:val="28"/>
        </w:rPr>
        <w:t>或</w:t>
      </w:r>
      <w:r>
        <w:rPr>
          <w:rFonts w:hint="eastAsia" w:ascii="宋体" w:hAnsi="宋体" w:eastAsia="宋体" w:cs="宋体"/>
          <w:color w:val="auto"/>
          <w:szCs w:val="28"/>
        </w:rPr>
        <w:t>ZR-BV-450/750V</w:t>
      </w:r>
      <w:r>
        <w:rPr>
          <w:rFonts w:hint="eastAsia" w:ascii="宋体" w:hAnsi="宋体" w:eastAsia="宋体" w:cs="宋体"/>
          <w:color w:val="auto"/>
          <w:szCs w:val="28"/>
        </w:rPr>
        <w:t>。</w:t>
      </w:r>
    </w:p>
    <w:p>
      <w:pPr>
        <w:pageBreakBefore w:val="0"/>
        <w:kinsoku/>
        <w:wordWrap/>
        <w:overflowPunct/>
        <w:topLinePunct w:val="0"/>
        <w:bidi w:val="0"/>
        <w:spacing w:line="600" w:lineRule="exact"/>
        <w:ind w:firstLine="560" w:firstLineChars="200"/>
        <w:textAlignment w:val="auto"/>
        <w:rPr>
          <w:rFonts w:hint="eastAsia" w:ascii="宋体" w:hAnsi="宋体" w:eastAsia="宋体" w:cs="宋体"/>
          <w:bCs/>
          <w:color w:val="auto"/>
          <w:szCs w:val="28"/>
        </w:rPr>
      </w:pPr>
      <w:bookmarkStart w:id="107" w:name="_Toc227293483"/>
      <w:bookmarkStart w:id="108" w:name="_Toc218917839"/>
      <w:bookmarkStart w:id="109" w:name="_Toc227384890"/>
      <w:bookmarkStart w:id="110" w:name="_Toc222028390"/>
      <w:r>
        <w:rPr>
          <w:rFonts w:hint="eastAsia" w:ascii="宋体" w:hAnsi="宋体" w:eastAsia="宋体" w:cs="宋体"/>
          <w:bCs/>
          <w:color w:val="auto"/>
          <w:szCs w:val="28"/>
        </w:rPr>
        <w:t>4、照明</w:t>
      </w:r>
      <w:bookmarkEnd w:id="107"/>
      <w:bookmarkEnd w:id="108"/>
      <w:bookmarkEnd w:id="109"/>
      <w:bookmarkEnd w:id="110"/>
    </w:p>
    <w:p>
      <w:pPr>
        <w:pageBreakBefore w:val="0"/>
        <w:kinsoku/>
        <w:wordWrap/>
        <w:overflowPunct/>
        <w:topLinePunct w:val="0"/>
        <w:bidi w:val="0"/>
        <w:spacing w:line="600" w:lineRule="exact"/>
        <w:ind w:firstLine="560" w:firstLineChars="200"/>
        <w:textAlignment w:val="auto"/>
        <w:rPr>
          <w:rFonts w:hint="eastAsia" w:ascii="宋体" w:hAnsi="宋体" w:eastAsia="宋体" w:cs="宋体"/>
          <w:bCs/>
          <w:color w:val="auto"/>
          <w:szCs w:val="28"/>
        </w:rPr>
      </w:pPr>
      <w:r>
        <w:rPr>
          <w:rFonts w:hint="eastAsia" w:ascii="宋体" w:hAnsi="宋体" w:eastAsia="宋体" w:cs="宋体"/>
          <w:bCs/>
          <w:color w:val="auto"/>
          <w:szCs w:val="28"/>
        </w:rPr>
        <w:t>该装置区场所照明灯具选用高效节能灯具；</w:t>
      </w:r>
      <w:r>
        <w:rPr>
          <w:rFonts w:hint="eastAsia" w:ascii="宋体" w:hAnsi="宋体" w:eastAsia="宋体" w:cs="宋体"/>
          <w:color w:val="auto"/>
          <w:szCs w:val="28"/>
        </w:rPr>
        <w:t>生产车间、疏散走道、办公区等场所设置应急照明灯</w:t>
      </w:r>
      <w:r>
        <w:rPr>
          <w:rFonts w:hint="eastAsia" w:ascii="宋体" w:hAnsi="宋体" w:eastAsia="宋体" w:cs="宋体"/>
          <w:bCs/>
          <w:color w:val="auto"/>
          <w:szCs w:val="28"/>
        </w:rPr>
        <w:t>。</w:t>
      </w:r>
    </w:p>
    <w:p>
      <w:pPr>
        <w:pageBreakBefore w:val="0"/>
        <w:kinsoku/>
        <w:wordWrap/>
        <w:overflowPunct/>
        <w:topLinePunct w:val="0"/>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5、防雷、防静电接地</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101</w:t>
      </w:r>
      <w:r>
        <w:rPr>
          <w:rFonts w:hint="eastAsia" w:ascii="宋体" w:hAnsi="宋体" w:eastAsia="宋体" w:cs="宋体"/>
          <w:color w:val="auto"/>
          <w:szCs w:val="28"/>
        </w:rPr>
        <w:t>外延芯片厂房</w:t>
      </w:r>
      <w:r>
        <w:rPr>
          <w:rFonts w:hint="eastAsia" w:ascii="宋体" w:hAnsi="宋体" w:eastAsia="宋体" w:cs="宋体"/>
          <w:color w:val="auto"/>
          <w:szCs w:val="28"/>
        </w:rPr>
        <w:t>按第二类防雷建筑物进行</w:t>
      </w:r>
      <w:r>
        <w:rPr>
          <w:rFonts w:hint="eastAsia" w:ascii="宋体" w:hAnsi="宋体" w:eastAsia="宋体" w:cs="宋体"/>
          <w:color w:val="auto"/>
          <w:szCs w:val="28"/>
        </w:rPr>
        <w:t>设置</w:t>
      </w:r>
      <w:r>
        <w:rPr>
          <w:rFonts w:hint="eastAsia" w:ascii="宋体" w:hAnsi="宋体" w:eastAsia="宋体" w:cs="宋体"/>
          <w:color w:val="auto"/>
          <w:szCs w:val="28"/>
        </w:rPr>
        <w:t>。</w:t>
      </w:r>
      <w:r>
        <w:rPr>
          <w:rFonts w:hint="eastAsia" w:ascii="宋体" w:hAnsi="宋体" w:eastAsia="宋体" w:cs="宋体"/>
          <w:color w:val="auto"/>
          <w:szCs w:val="28"/>
        </w:rPr>
        <w:t>115废气车间</w:t>
      </w:r>
      <w:r>
        <w:rPr>
          <w:rFonts w:hint="eastAsia" w:ascii="宋体" w:hAnsi="宋体" w:eastAsia="宋体" w:cs="宋体"/>
          <w:color w:val="auto"/>
          <w:lang w:eastAsia="zh-CN"/>
        </w:rPr>
        <w:t>（</w:t>
      </w:r>
      <w:r>
        <w:rPr>
          <w:rFonts w:hint="eastAsia" w:ascii="宋体" w:hAnsi="宋体" w:eastAsia="宋体" w:cs="宋体"/>
          <w:color w:val="auto"/>
          <w:lang w:val="en-US" w:eastAsia="zh-CN"/>
        </w:rPr>
        <w:t>氨水储罐）</w:t>
      </w:r>
      <w:r>
        <w:rPr>
          <w:rFonts w:hint="eastAsia" w:ascii="宋体" w:hAnsi="宋体" w:eastAsia="宋体" w:cs="宋体"/>
          <w:color w:val="auto"/>
          <w:szCs w:val="28"/>
        </w:rPr>
        <w:t>按第三类防雷建筑物进行</w:t>
      </w:r>
      <w:r>
        <w:rPr>
          <w:rFonts w:hint="eastAsia" w:ascii="宋体" w:hAnsi="宋体" w:eastAsia="宋体" w:cs="宋体"/>
          <w:color w:val="auto"/>
          <w:szCs w:val="28"/>
        </w:rPr>
        <w:t>设置</w:t>
      </w:r>
      <w:r>
        <w:rPr>
          <w:rFonts w:hint="eastAsia" w:ascii="宋体" w:hAnsi="宋体" w:eastAsia="宋体" w:cs="宋体"/>
          <w:color w:val="auto"/>
          <w:szCs w:val="28"/>
        </w:rPr>
        <w:t>，</w:t>
      </w:r>
      <w:r>
        <w:rPr>
          <w:rFonts w:hint="eastAsia" w:ascii="宋体" w:hAnsi="宋体" w:eastAsia="宋体" w:cs="宋体"/>
          <w:color w:val="auto"/>
          <w:szCs w:val="28"/>
        </w:rPr>
        <w:t>层面设置接闪带</w:t>
      </w:r>
      <w:r>
        <w:rPr>
          <w:rFonts w:hint="eastAsia" w:ascii="宋体" w:hAnsi="宋体" w:eastAsia="宋体" w:cs="宋体"/>
          <w:color w:val="auto"/>
          <w:szCs w:val="28"/>
        </w:rPr>
        <w:t>。利用</w:t>
      </w:r>
      <w:r>
        <w:rPr>
          <w:rFonts w:hint="eastAsia" w:ascii="宋体" w:hAnsi="宋体" w:eastAsia="宋体" w:cs="宋体"/>
          <w:color w:val="auto"/>
          <w:szCs w:val="28"/>
        </w:rPr>
        <w:t>建筑钢筋混凝土柱子内两根</w:t>
      </w:r>
      <w:r>
        <w:rPr>
          <w:rFonts w:hint="eastAsia" w:ascii="宋体" w:hAnsi="宋体" w:eastAsia="宋体" w:cs="宋体"/>
          <w:color w:val="auto"/>
          <w:szCs w:val="28"/>
        </w:rPr>
        <w:t>Φ16</w:t>
      </w:r>
      <w:r>
        <w:rPr>
          <w:rFonts w:hint="eastAsia" w:ascii="宋体" w:hAnsi="宋体" w:eastAsia="宋体" w:cs="宋体"/>
          <w:color w:val="auto"/>
          <w:szCs w:val="28"/>
        </w:rPr>
        <w:t>以上通长主筋（焊接、绑扎）作为引下线</w:t>
      </w:r>
      <w:r>
        <w:rPr>
          <w:rFonts w:hint="eastAsia" w:ascii="宋体" w:hAnsi="宋体" w:eastAsia="宋体" w:cs="宋体"/>
          <w:color w:val="auto"/>
          <w:szCs w:val="28"/>
        </w:rPr>
        <w:t>；利用基础（基础梁）内的钢筋网作接地装置。所有冒出屋面的金属管道均通过金属连接线就近与屋面明设接闪带焊接连通。为防雷电波侵入及雷电电磁脉冲对电气</w:t>
      </w:r>
      <w:r>
        <w:rPr>
          <w:rFonts w:hint="eastAsia" w:ascii="宋体" w:hAnsi="宋体" w:eastAsia="宋体" w:cs="宋体"/>
          <w:color w:val="auto"/>
          <w:szCs w:val="28"/>
        </w:rPr>
        <w:t>/</w:t>
      </w:r>
      <w:r>
        <w:rPr>
          <w:rFonts w:hint="eastAsia" w:ascii="宋体" w:hAnsi="宋体" w:eastAsia="宋体" w:cs="宋体"/>
          <w:color w:val="auto"/>
          <w:szCs w:val="28"/>
        </w:rPr>
        <w:t>电子设备的损害，对各类电源进线和信息线路均在入户处装设避雷装置或电涌保护器（</w:t>
      </w:r>
      <w:r>
        <w:rPr>
          <w:rFonts w:hint="eastAsia" w:ascii="宋体" w:hAnsi="宋体" w:eastAsia="宋体" w:cs="宋体"/>
          <w:color w:val="auto"/>
          <w:szCs w:val="28"/>
        </w:rPr>
        <w:t>SPD</w:t>
      </w:r>
      <w:r>
        <w:rPr>
          <w:rFonts w:hint="eastAsia" w:ascii="宋体" w:hAnsi="宋体" w:eastAsia="宋体" w:cs="宋体"/>
          <w:color w:val="auto"/>
          <w:szCs w:val="28"/>
        </w:rPr>
        <w:t>）进行保护。</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主要建筑物的防雷接地、用电设备的保护接地、管道的防静电接地等共用接地系统</w:t>
      </w:r>
      <w:r>
        <w:rPr>
          <w:rFonts w:hint="eastAsia" w:ascii="宋体" w:hAnsi="宋体" w:eastAsia="宋体" w:cs="宋体"/>
          <w:color w:val="auto"/>
          <w:szCs w:val="28"/>
        </w:rPr>
        <w:t>，接地电阻</w:t>
      </w:r>
      <w:r>
        <w:rPr>
          <w:rFonts w:hint="eastAsia" w:ascii="宋体" w:hAnsi="宋体" w:eastAsia="宋体" w:cs="宋体"/>
          <w:color w:val="auto"/>
          <w:szCs w:val="28"/>
        </w:rPr>
        <w:t>R≤</w:t>
      </w:r>
      <w:r>
        <w:rPr>
          <w:rFonts w:hint="eastAsia" w:ascii="宋体" w:hAnsi="宋体" w:eastAsia="宋体" w:cs="宋体"/>
          <w:color w:val="auto"/>
          <w:szCs w:val="28"/>
          <w:lang w:val="en-US" w:eastAsia="zh-CN"/>
        </w:rPr>
        <w:t>4</w:t>
      </w:r>
      <w:r>
        <w:rPr>
          <w:rFonts w:hint="eastAsia" w:ascii="宋体" w:hAnsi="宋体" w:eastAsia="宋体" w:cs="宋体"/>
          <w:color w:val="auto"/>
          <w:szCs w:val="28"/>
        </w:rPr>
        <w:t>欧姆</w:t>
      </w:r>
      <w:r>
        <w:rPr>
          <w:rFonts w:hint="eastAsia" w:ascii="宋体" w:hAnsi="宋体" w:eastAsia="宋体" w:cs="宋体"/>
          <w:color w:val="auto"/>
          <w:szCs w:val="28"/>
        </w:rPr>
        <w:t>。系统接地利用建筑物钢筋混凝土基础接地，在消防控制室、安保中心、通信机房、</w:t>
      </w:r>
      <w:r>
        <w:rPr>
          <w:rFonts w:hint="eastAsia" w:ascii="宋体" w:hAnsi="宋体" w:eastAsia="宋体" w:cs="宋体"/>
          <w:color w:val="auto"/>
          <w:szCs w:val="28"/>
        </w:rPr>
        <w:t>网络</w:t>
      </w:r>
      <w:r>
        <w:rPr>
          <w:rFonts w:hint="eastAsia" w:ascii="宋体" w:hAnsi="宋体" w:eastAsia="宋体" w:cs="宋体"/>
          <w:color w:val="auto"/>
          <w:szCs w:val="28"/>
        </w:rPr>
        <w:t>配线间设接地端子箱，采用</w:t>
      </w:r>
      <w:r>
        <w:rPr>
          <w:rFonts w:hint="eastAsia" w:ascii="宋体" w:hAnsi="宋体" w:eastAsia="宋体" w:cs="宋体"/>
          <w:color w:val="auto"/>
          <w:szCs w:val="28"/>
        </w:rPr>
        <w:t>BVR 1×25mm</w:t>
      </w:r>
      <w:r>
        <w:rPr>
          <w:rFonts w:hint="eastAsia" w:ascii="宋体" w:hAnsi="宋体" w:eastAsia="宋体" w:cs="宋体"/>
          <w:color w:val="auto"/>
          <w:szCs w:val="28"/>
          <w:vertAlign w:val="superscript"/>
        </w:rPr>
        <w:t>2</w:t>
      </w:r>
      <w:r>
        <w:rPr>
          <w:rFonts w:hint="eastAsia" w:ascii="宋体" w:hAnsi="宋体" w:eastAsia="宋体" w:cs="宋体"/>
          <w:color w:val="auto"/>
          <w:szCs w:val="28"/>
        </w:rPr>
        <w:t>接地干线接至</w:t>
      </w:r>
      <w:r>
        <w:rPr>
          <w:rFonts w:hint="eastAsia" w:ascii="宋体" w:hAnsi="宋体" w:eastAsia="宋体" w:cs="宋体"/>
          <w:color w:val="auto"/>
          <w:szCs w:val="28"/>
        </w:rPr>
        <w:t>基础</w:t>
      </w:r>
      <w:r>
        <w:rPr>
          <w:rFonts w:hint="eastAsia" w:ascii="宋体" w:hAnsi="宋体" w:eastAsia="宋体" w:cs="宋体"/>
          <w:color w:val="auto"/>
          <w:szCs w:val="28"/>
        </w:rPr>
        <w:t>接地体。建筑内所有设备的外露可导电部分、电源的</w:t>
      </w:r>
      <w:r>
        <w:rPr>
          <w:rFonts w:hint="eastAsia" w:ascii="宋体" w:hAnsi="宋体" w:eastAsia="宋体" w:cs="宋体"/>
          <w:color w:val="auto"/>
          <w:szCs w:val="28"/>
        </w:rPr>
        <w:t>PE</w:t>
      </w:r>
      <w:r>
        <w:rPr>
          <w:rFonts w:hint="eastAsia" w:ascii="宋体" w:hAnsi="宋体" w:eastAsia="宋体" w:cs="宋体"/>
          <w:color w:val="auto"/>
          <w:szCs w:val="28"/>
        </w:rPr>
        <w:t>线及进出建筑的管道等装置均与接地端子箱可靠连接，作等电位联结。</w:t>
      </w:r>
    </w:p>
    <w:p>
      <w:pPr>
        <w:pStyle w:val="59"/>
        <w:pageBreakBefore w:val="0"/>
        <w:kinsoku/>
        <w:wordWrap/>
        <w:overflowPunct/>
        <w:topLinePunct w:val="0"/>
        <w:bidi w:val="0"/>
        <w:snapToGrid w:val="0"/>
        <w:spacing w:line="600" w:lineRule="exact"/>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建设项目接地系统接地采用</w:t>
      </w:r>
      <w:r>
        <w:rPr>
          <w:rFonts w:hint="eastAsia" w:ascii="宋体" w:hAnsi="宋体" w:eastAsia="宋体" w:cs="宋体"/>
          <w:color w:val="auto"/>
          <w:sz w:val="28"/>
          <w:szCs w:val="28"/>
        </w:rPr>
        <w:t>TN</w:t>
      </w:r>
      <w:r>
        <w:rPr>
          <w:rFonts w:hint="eastAsia" w:ascii="宋体" w:hAnsi="宋体" w:eastAsia="宋体" w:cs="宋体"/>
          <w:color w:val="auto"/>
          <w:sz w:val="28"/>
          <w:szCs w:val="28"/>
        </w:rPr>
        <w:t>－</w:t>
      </w:r>
      <w:r>
        <w:rPr>
          <w:rFonts w:hint="eastAsia" w:ascii="宋体" w:hAnsi="宋体" w:eastAsia="宋体" w:cs="宋体"/>
          <w:color w:val="auto"/>
          <w:sz w:val="28"/>
          <w:szCs w:val="28"/>
        </w:rPr>
        <w:t>S</w:t>
      </w:r>
      <w:r>
        <w:rPr>
          <w:rFonts w:hint="eastAsia" w:ascii="宋体" w:hAnsi="宋体" w:eastAsia="宋体" w:cs="宋体"/>
          <w:color w:val="auto"/>
          <w:sz w:val="28"/>
          <w:szCs w:val="28"/>
        </w:rPr>
        <w:t>制，保护地线</w:t>
      </w:r>
      <w:r>
        <w:rPr>
          <w:rFonts w:hint="eastAsia" w:ascii="宋体" w:hAnsi="宋体" w:eastAsia="宋体" w:cs="宋体"/>
          <w:color w:val="auto"/>
          <w:sz w:val="28"/>
          <w:szCs w:val="28"/>
        </w:rPr>
        <w:t xml:space="preserve">PE </w:t>
      </w:r>
      <w:r>
        <w:rPr>
          <w:rFonts w:hint="eastAsia" w:ascii="宋体" w:hAnsi="宋体" w:eastAsia="宋体" w:cs="宋体"/>
          <w:color w:val="auto"/>
          <w:sz w:val="28"/>
          <w:szCs w:val="28"/>
        </w:rPr>
        <w:t>线与</w:t>
      </w:r>
      <w:r>
        <w:rPr>
          <w:rFonts w:hint="eastAsia" w:ascii="宋体" w:hAnsi="宋体" w:eastAsia="宋体" w:cs="宋体"/>
          <w:color w:val="auto"/>
          <w:sz w:val="28"/>
          <w:szCs w:val="28"/>
        </w:rPr>
        <w:t>N</w:t>
      </w:r>
      <w:r>
        <w:rPr>
          <w:rFonts w:hint="eastAsia" w:ascii="宋体" w:hAnsi="宋体" w:eastAsia="宋体" w:cs="宋体"/>
          <w:color w:val="auto"/>
          <w:sz w:val="28"/>
          <w:szCs w:val="28"/>
        </w:rPr>
        <w:t>线在变压器中性点引出处即分开设置，配电系统中用电设备的金属外壳、电缆桥架、支架吊架等金属配件及穿线钢管等不带电金属体均与</w:t>
      </w:r>
      <w:r>
        <w:rPr>
          <w:rFonts w:hint="eastAsia" w:ascii="宋体" w:hAnsi="宋体" w:eastAsia="宋体" w:cs="宋体"/>
          <w:color w:val="auto"/>
          <w:sz w:val="28"/>
          <w:szCs w:val="28"/>
        </w:rPr>
        <w:t>N</w:t>
      </w:r>
      <w:r>
        <w:rPr>
          <w:rFonts w:hint="eastAsia" w:ascii="宋体" w:hAnsi="宋体" w:eastAsia="宋体" w:cs="宋体"/>
          <w:color w:val="auto"/>
          <w:sz w:val="28"/>
          <w:szCs w:val="28"/>
        </w:rPr>
        <w:t>线绝缘而与</w:t>
      </w:r>
      <w:r>
        <w:rPr>
          <w:rFonts w:hint="eastAsia" w:ascii="宋体" w:hAnsi="宋体" w:eastAsia="宋体" w:cs="宋体"/>
          <w:color w:val="auto"/>
          <w:sz w:val="28"/>
          <w:szCs w:val="28"/>
        </w:rPr>
        <w:t>PE</w:t>
      </w:r>
      <w:r>
        <w:rPr>
          <w:rFonts w:hint="eastAsia" w:ascii="宋体" w:hAnsi="宋体" w:eastAsia="宋体" w:cs="宋体"/>
          <w:color w:val="auto"/>
          <w:sz w:val="28"/>
          <w:szCs w:val="28"/>
        </w:rPr>
        <w:t>线连成通路作可靠接地保护。</w:t>
      </w:r>
      <w:r>
        <w:rPr>
          <w:rFonts w:hint="eastAsia" w:ascii="宋体" w:hAnsi="宋体" w:eastAsia="宋体" w:cs="宋体"/>
          <w:color w:val="auto"/>
          <w:sz w:val="28"/>
          <w:szCs w:val="28"/>
        </w:rPr>
        <w:t>PE</w:t>
      </w:r>
      <w:r>
        <w:rPr>
          <w:rFonts w:hint="eastAsia" w:ascii="宋体" w:hAnsi="宋体" w:eastAsia="宋体" w:cs="宋体"/>
          <w:color w:val="auto"/>
          <w:sz w:val="28"/>
          <w:szCs w:val="28"/>
        </w:rPr>
        <w:t>线的截面不小于同线路相线截面的</w:t>
      </w:r>
      <w:r>
        <w:rPr>
          <w:rFonts w:hint="eastAsia" w:ascii="宋体" w:hAnsi="宋体" w:eastAsia="宋体" w:cs="宋体"/>
          <w:color w:val="auto"/>
          <w:sz w:val="28"/>
          <w:szCs w:val="28"/>
        </w:rPr>
        <w:t>50%</w:t>
      </w:r>
      <w:r>
        <w:rPr>
          <w:rFonts w:hint="eastAsia" w:ascii="宋体" w:hAnsi="宋体" w:eastAsia="宋体" w:cs="宋体"/>
          <w:color w:val="auto"/>
          <w:sz w:val="28"/>
          <w:szCs w:val="28"/>
        </w:rPr>
        <w:t>，相线截面小于</w:t>
      </w:r>
      <w:r>
        <w:rPr>
          <w:rFonts w:hint="eastAsia" w:ascii="宋体" w:hAnsi="宋体" w:eastAsia="宋体" w:cs="宋体"/>
          <w:color w:val="auto"/>
          <w:sz w:val="28"/>
          <w:szCs w:val="28"/>
        </w:rPr>
        <w:t>16mm</w:t>
      </w:r>
      <w:r>
        <w:rPr>
          <w:rFonts w:hint="eastAsia" w:ascii="宋体" w:hAnsi="宋体" w:eastAsia="宋体" w:cs="宋体"/>
          <w:color w:val="auto"/>
          <w:sz w:val="28"/>
          <w:szCs w:val="28"/>
          <w:vertAlign w:val="superscript"/>
        </w:rPr>
        <w:t>2</w:t>
      </w:r>
      <w:r>
        <w:rPr>
          <w:rFonts w:hint="eastAsia" w:ascii="宋体" w:hAnsi="宋体" w:eastAsia="宋体" w:cs="宋体"/>
          <w:color w:val="auto"/>
          <w:sz w:val="28"/>
          <w:szCs w:val="28"/>
        </w:rPr>
        <w:t>的线路，</w:t>
      </w:r>
      <w:r>
        <w:rPr>
          <w:rFonts w:hint="eastAsia" w:ascii="宋体" w:hAnsi="宋体" w:eastAsia="宋体" w:cs="宋体"/>
          <w:color w:val="auto"/>
          <w:sz w:val="28"/>
          <w:szCs w:val="28"/>
        </w:rPr>
        <w:t>PE</w:t>
      </w:r>
      <w:r>
        <w:rPr>
          <w:rFonts w:hint="eastAsia" w:ascii="宋体" w:hAnsi="宋体" w:eastAsia="宋体" w:cs="宋体"/>
          <w:color w:val="auto"/>
          <w:sz w:val="28"/>
          <w:szCs w:val="28"/>
        </w:rPr>
        <w:t>线与相线等截面。</w:t>
      </w:r>
    </w:p>
    <w:p>
      <w:pPr>
        <w:pStyle w:val="60"/>
        <w:pageBreakBefore w:val="0"/>
        <w:kinsoku/>
        <w:wordWrap/>
        <w:overflowPunct/>
        <w:topLinePunct w:val="0"/>
        <w:bidi w:val="0"/>
        <w:adjustRightInd w:val="0"/>
        <w:snapToGrid w:val="0"/>
        <w:spacing w:line="600" w:lineRule="exact"/>
        <w:textAlignment w:val="auto"/>
        <w:rPr>
          <w:rFonts w:hint="eastAsia" w:ascii="宋体" w:hAnsi="宋体" w:eastAsia="宋体" w:cs="宋体"/>
          <w:color w:val="auto"/>
        </w:rPr>
      </w:pPr>
      <w:r>
        <w:rPr>
          <w:rFonts w:hint="eastAsia" w:ascii="宋体" w:hAnsi="宋体" w:eastAsia="宋体" w:cs="宋体"/>
          <w:color w:val="auto"/>
        </w:rPr>
        <w:t>2）接地</w:t>
      </w:r>
    </w:p>
    <w:p>
      <w:pPr>
        <w:pStyle w:val="60"/>
        <w:pageBreakBefore w:val="0"/>
        <w:kinsoku/>
        <w:wordWrap/>
        <w:overflowPunct/>
        <w:topLinePunct w:val="0"/>
        <w:bidi w:val="0"/>
        <w:adjustRightInd w:val="0"/>
        <w:snapToGrid w:val="0"/>
        <w:spacing w:line="600" w:lineRule="exact"/>
        <w:textAlignment w:val="auto"/>
        <w:rPr>
          <w:rFonts w:hint="eastAsia" w:ascii="宋体" w:hAnsi="宋体" w:eastAsia="宋体" w:cs="宋体"/>
          <w:color w:val="auto"/>
        </w:rPr>
      </w:pPr>
      <w:r>
        <w:rPr>
          <w:rFonts w:hint="eastAsia" w:ascii="宋体" w:hAnsi="宋体" w:eastAsia="宋体" w:cs="宋体"/>
          <w:color w:val="auto"/>
        </w:rPr>
        <w:t>（1）防雷接地、变压器中性点接地、电气设备保护接地、防静电接地及弱电系统接地共用接地装置。利用建筑物基础底部或底板上的两根主筋及途经的桩基内底部或底板上的两根主筋通长焊接形成的基础接地网作为接地装置。接地电阻按50Hz电气装置的接地电阻确定，不大于按人身安全所确定的接地电阻值。</w:t>
      </w:r>
    </w:p>
    <w:p>
      <w:pPr>
        <w:pStyle w:val="60"/>
        <w:pageBreakBefore w:val="0"/>
        <w:kinsoku/>
        <w:wordWrap/>
        <w:overflowPunct/>
        <w:topLinePunct w:val="0"/>
        <w:bidi w:val="0"/>
        <w:adjustRightInd w:val="0"/>
        <w:snapToGrid w:val="0"/>
        <w:spacing w:line="600" w:lineRule="exact"/>
        <w:textAlignment w:val="auto"/>
        <w:rPr>
          <w:rFonts w:hint="eastAsia" w:ascii="宋体" w:hAnsi="宋体" w:eastAsia="宋体" w:cs="宋体"/>
          <w:color w:val="auto"/>
        </w:rPr>
      </w:pPr>
      <w:r>
        <w:rPr>
          <w:rFonts w:hint="eastAsia" w:ascii="宋体" w:hAnsi="宋体" w:eastAsia="宋体" w:cs="宋体"/>
          <w:color w:val="auto"/>
        </w:rPr>
        <w:t>（2）低压配电系统的接地型式采用TN-S系统。在电源引入处作重复接地；其中性线和保护线在接地点后要严格分开。凡正常不带电而当绝缘破坏有可能呈现电压的一切电气设备金属外壳均可靠接地。</w:t>
      </w:r>
    </w:p>
    <w:p>
      <w:pPr>
        <w:pStyle w:val="60"/>
        <w:pageBreakBefore w:val="0"/>
        <w:kinsoku/>
        <w:wordWrap/>
        <w:overflowPunct/>
        <w:topLinePunct w:val="0"/>
        <w:bidi w:val="0"/>
        <w:adjustRightInd w:val="0"/>
        <w:snapToGrid w:val="0"/>
        <w:spacing w:line="600" w:lineRule="exact"/>
        <w:textAlignment w:val="auto"/>
        <w:rPr>
          <w:rFonts w:hint="eastAsia" w:ascii="宋体" w:hAnsi="宋体" w:eastAsia="宋体" w:cs="宋体"/>
          <w:color w:val="auto"/>
        </w:rPr>
      </w:pPr>
      <w:r>
        <w:rPr>
          <w:rFonts w:hint="eastAsia" w:ascii="宋体" w:hAnsi="宋体" w:eastAsia="宋体" w:cs="宋体"/>
          <w:color w:val="auto"/>
        </w:rPr>
        <w:t>（3）建设项目采用总等电位连接，在配电室设总等电位连接端子箱；将建筑物金属体、金属装置、建筑物内系统、进出建筑物的金属管线等进行连接。</w:t>
      </w:r>
    </w:p>
    <w:p>
      <w:pPr>
        <w:pStyle w:val="60"/>
        <w:pageBreakBefore w:val="0"/>
        <w:kinsoku/>
        <w:wordWrap/>
        <w:overflowPunct/>
        <w:topLinePunct w:val="0"/>
        <w:bidi w:val="0"/>
        <w:adjustRightInd w:val="0"/>
        <w:snapToGrid w:val="0"/>
        <w:spacing w:line="600" w:lineRule="exact"/>
        <w:textAlignment w:val="auto"/>
        <w:rPr>
          <w:rFonts w:hint="eastAsia" w:ascii="宋体" w:hAnsi="宋体" w:eastAsia="宋体" w:cs="宋体"/>
          <w:color w:val="auto"/>
        </w:rPr>
      </w:pPr>
      <w:r>
        <w:rPr>
          <w:rFonts w:hint="eastAsia" w:ascii="宋体" w:hAnsi="宋体" w:eastAsia="宋体" w:cs="宋体"/>
          <w:color w:val="auto"/>
        </w:rPr>
        <w:t>（4）对于可能产生静电的管路、管架等均设防静电接地设施。</w:t>
      </w:r>
    </w:p>
    <w:p>
      <w:pPr>
        <w:pageBreakBefore w:val="0"/>
        <w:kinsoku/>
        <w:wordWrap/>
        <w:overflowPunct/>
        <w:topLinePunct w:val="0"/>
        <w:bidi w:val="0"/>
        <w:spacing w:line="600" w:lineRule="exact"/>
        <w:ind w:firstLine="560"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项目的防雷经江西普正防雷检测服务有限责任公司检测合格，有效期至202</w:t>
      </w:r>
      <w:r>
        <w:rPr>
          <w:rFonts w:hint="eastAsia" w:ascii="宋体" w:hAnsi="宋体" w:eastAsia="宋体" w:cs="宋体"/>
          <w:color w:val="auto"/>
          <w:kern w:val="2"/>
          <w:sz w:val="28"/>
          <w:szCs w:val="28"/>
          <w:lang w:val="en-US" w:eastAsia="zh-CN" w:bidi="ar-SA"/>
        </w:rPr>
        <w:t>3</w:t>
      </w:r>
      <w:r>
        <w:rPr>
          <w:rFonts w:hint="eastAsia" w:ascii="宋体" w:hAnsi="宋体" w:eastAsia="宋体" w:cs="宋体"/>
          <w:color w:val="auto"/>
          <w:kern w:val="2"/>
          <w:sz w:val="28"/>
          <w:szCs w:val="28"/>
          <w:lang w:val="en-US" w:eastAsia="zh-CN" w:bidi="ar-SA"/>
        </w:rPr>
        <w:t>年</w:t>
      </w:r>
      <w:r>
        <w:rPr>
          <w:rFonts w:hint="eastAsia" w:ascii="宋体" w:hAnsi="宋体" w:eastAsia="宋体" w:cs="宋体"/>
          <w:color w:val="auto"/>
          <w:kern w:val="2"/>
          <w:sz w:val="28"/>
          <w:szCs w:val="28"/>
          <w:lang w:val="en-US" w:eastAsia="zh-CN" w:bidi="ar-SA"/>
        </w:rPr>
        <w:t>4</w:t>
      </w:r>
      <w:r>
        <w:rPr>
          <w:rFonts w:hint="eastAsia" w:ascii="宋体" w:hAnsi="宋体" w:eastAsia="宋体" w:cs="宋体"/>
          <w:color w:val="auto"/>
          <w:kern w:val="2"/>
          <w:sz w:val="28"/>
          <w:szCs w:val="28"/>
          <w:lang w:val="en-US" w:eastAsia="zh-CN" w:bidi="ar-SA"/>
        </w:rPr>
        <w:t>月</w:t>
      </w:r>
      <w:r>
        <w:rPr>
          <w:rFonts w:hint="eastAsia" w:ascii="宋体" w:hAnsi="宋体" w:eastAsia="宋体" w:cs="宋体"/>
          <w:color w:val="auto"/>
          <w:kern w:val="2"/>
          <w:sz w:val="28"/>
          <w:szCs w:val="28"/>
          <w:lang w:val="en-US" w:eastAsia="zh-CN" w:bidi="ar-SA"/>
        </w:rPr>
        <w:t>15日</w:t>
      </w:r>
      <w:r>
        <w:rPr>
          <w:rFonts w:hint="eastAsia" w:ascii="宋体" w:hAnsi="宋体" w:eastAsia="宋体" w:cs="宋体"/>
          <w:color w:val="auto"/>
          <w:kern w:val="2"/>
          <w:sz w:val="28"/>
          <w:szCs w:val="28"/>
          <w:lang w:val="en-US" w:eastAsia="zh-CN" w:bidi="ar-SA"/>
        </w:rPr>
        <w:t>，具体见附件。</w:t>
      </w:r>
    </w:p>
    <w:p>
      <w:pPr>
        <w:pStyle w:val="8"/>
        <w:pageBreakBefore w:val="0"/>
        <w:kinsoku/>
        <w:wordWrap/>
        <w:overflowPunct/>
        <w:topLinePunct w:val="0"/>
        <w:bidi w:val="0"/>
        <w:spacing w:line="600" w:lineRule="exact"/>
        <w:textAlignment w:val="auto"/>
        <w:rPr>
          <w:rFonts w:hint="eastAsia" w:ascii="宋体" w:hAnsi="宋体" w:eastAsia="宋体" w:cs="宋体"/>
          <w:color w:val="auto"/>
        </w:rPr>
      </w:pPr>
      <w:r>
        <w:rPr>
          <w:rFonts w:hint="eastAsia" w:ascii="宋体" w:hAnsi="宋体" w:eastAsia="宋体" w:cs="宋体"/>
          <w:color w:val="auto"/>
        </w:rPr>
        <w:t>2.5.3制冷</w:t>
      </w:r>
    </w:p>
    <w:p>
      <w:pPr>
        <w:pageBreakBefore w:val="0"/>
        <w:widowControl/>
        <w:kinsoku/>
        <w:wordWrap/>
        <w:overflowPunct/>
        <w:topLinePunct w:val="0"/>
        <w:bidi w:val="0"/>
        <w:adjustRightInd w:val="0"/>
        <w:snapToGrid w:val="0"/>
        <w:spacing w:line="600" w:lineRule="exact"/>
        <w:ind w:firstLine="560" w:firstLineChars="200"/>
        <w:jc w:val="left"/>
        <w:textAlignment w:val="auto"/>
        <w:rPr>
          <w:rFonts w:hint="eastAsia" w:ascii="宋体" w:hAnsi="宋体" w:eastAsia="宋体" w:cs="宋体"/>
          <w:color w:val="auto"/>
          <w:szCs w:val="28"/>
        </w:rPr>
      </w:pPr>
      <w:r>
        <w:rPr>
          <w:rFonts w:hint="eastAsia" w:ascii="宋体" w:hAnsi="宋体" w:eastAsia="宋体" w:cs="宋体"/>
          <w:color w:val="auto"/>
          <w:szCs w:val="28"/>
        </w:rPr>
        <w:t>根据工艺</w:t>
      </w:r>
      <w:r>
        <w:rPr>
          <w:rFonts w:hint="eastAsia" w:ascii="宋体" w:hAnsi="宋体" w:eastAsia="宋体" w:cs="宋体"/>
          <w:color w:val="auto"/>
          <w:szCs w:val="28"/>
        </w:rPr>
        <w:t>生产</w:t>
      </w:r>
      <w:r>
        <w:rPr>
          <w:rFonts w:hint="eastAsia" w:ascii="宋体" w:hAnsi="宋体" w:eastAsia="宋体" w:cs="宋体"/>
          <w:color w:val="auto"/>
          <w:szCs w:val="28"/>
        </w:rPr>
        <w:t>要求，</w:t>
      </w:r>
      <w:r>
        <w:rPr>
          <w:rFonts w:hint="eastAsia" w:ascii="宋体" w:hAnsi="宋体" w:eastAsia="宋体" w:cs="宋体"/>
          <w:color w:val="auto"/>
          <w:szCs w:val="28"/>
        </w:rPr>
        <w:t>在</w:t>
      </w:r>
      <w:r>
        <w:rPr>
          <w:rFonts w:hint="eastAsia" w:ascii="宋体" w:hAnsi="宋体" w:eastAsia="宋体" w:cs="宋体"/>
          <w:color w:val="auto"/>
          <w:szCs w:val="28"/>
        </w:rPr>
        <w:t>10</w:t>
      </w:r>
      <w:r>
        <w:rPr>
          <w:rFonts w:hint="eastAsia" w:ascii="宋体" w:hAnsi="宋体" w:eastAsia="宋体" w:cs="宋体"/>
          <w:color w:val="auto"/>
          <w:szCs w:val="28"/>
        </w:rPr>
        <w:t>2</w:t>
      </w:r>
      <w:r>
        <w:rPr>
          <w:rFonts w:hint="eastAsia" w:ascii="宋体" w:hAnsi="宋体" w:eastAsia="宋体" w:cs="宋体"/>
          <w:color w:val="auto"/>
          <w:szCs w:val="28"/>
        </w:rPr>
        <w:t>号建筑（</w:t>
      </w:r>
      <w:r>
        <w:rPr>
          <w:rFonts w:hint="eastAsia" w:ascii="宋体" w:hAnsi="宋体" w:eastAsia="宋体" w:cs="宋体"/>
          <w:color w:val="auto"/>
          <w:szCs w:val="28"/>
        </w:rPr>
        <w:t>动力站</w:t>
      </w:r>
      <w:r>
        <w:rPr>
          <w:rFonts w:hint="eastAsia" w:ascii="宋体" w:hAnsi="宋体" w:eastAsia="宋体" w:cs="宋体"/>
          <w:color w:val="auto"/>
          <w:szCs w:val="28"/>
        </w:rPr>
        <w:t>）</w:t>
      </w:r>
      <w:r>
        <w:rPr>
          <w:rFonts w:hint="eastAsia" w:ascii="宋体" w:hAnsi="宋体" w:eastAsia="宋体" w:cs="宋体"/>
          <w:color w:val="auto"/>
          <w:szCs w:val="28"/>
        </w:rPr>
        <w:t>的冷冻站内设置低温冷冻水系统。</w:t>
      </w:r>
    </w:p>
    <w:p>
      <w:pPr>
        <w:pageBreakBefore w:val="0"/>
        <w:kinsoku/>
        <w:wordWrap/>
        <w:overflowPunct/>
        <w:topLinePunct w:val="0"/>
        <w:bidi w:val="0"/>
        <w:adjustRightInd w:val="0"/>
        <w:snapToGrid w:val="0"/>
        <w:spacing w:line="600" w:lineRule="exact"/>
        <w:ind w:firstLine="560"/>
        <w:textAlignment w:val="auto"/>
        <w:rPr>
          <w:rFonts w:hint="eastAsia" w:ascii="宋体" w:hAnsi="宋体" w:eastAsia="宋体" w:cs="宋体"/>
          <w:color w:val="auto"/>
          <w:szCs w:val="28"/>
        </w:rPr>
      </w:pPr>
      <w:r>
        <w:rPr>
          <w:rFonts w:hint="eastAsia" w:ascii="宋体" w:hAnsi="宋体" w:eastAsia="宋体" w:cs="宋体"/>
          <w:color w:val="auto"/>
          <w:szCs w:val="28"/>
        </w:rPr>
        <w:t>在</w:t>
      </w:r>
      <w:r>
        <w:rPr>
          <w:rFonts w:hint="eastAsia" w:ascii="宋体" w:hAnsi="宋体" w:eastAsia="宋体" w:cs="宋体"/>
          <w:color w:val="auto"/>
          <w:szCs w:val="28"/>
        </w:rPr>
        <w:t>10</w:t>
      </w:r>
      <w:r>
        <w:rPr>
          <w:rFonts w:hint="eastAsia" w:ascii="宋体" w:hAnsi="宋体" w:eastAsia="宋体" w:cs="宋体"/>
          <w:color w:val="auto"/>
          <w:szCs w:val="28"/>
        </w:rPr>
        <w:t>2</w:t>
      </w:r>
      <w:r>
        <w:rPr>
          <w:rFonts w:hint="eastAsia" w:ascii="宋体" w:hAnsi="宋体" w:eastAsia="宋体" w:cs="宋体"/>
          <w:color w:val="auto"/>
          <w:szCs w:val="28"/>
        </w:rPr>
        <w:t>号建筑（</w:t>
      </w:r>
      <w:r>
        <w:rPr>
          <w:rFonts w:hint="eastAsia" w:ascii="宋体" w:hAnsi="宋体" w:eastAsia="宋体" w:cs="宋体"/>
          <w:color w:val="auto"/>
          <w:szCs w:val="28"/>
        </w:rPr>
        <w:t>动力站</w:t>
      </w:r>
      <w:r>
        <w:rPr>
          <w:rFonts w:hint="eastAsia" w:ascii="宋体" w:hAnsi="宋体" w:eastAsia="宋体" w:cs="宋体"/>
          <w:color w:val="auto"/>
          <w:szCs w:val="28"/>
        </w:rPr>
        <w:t>）</w:t>
      </w:r>
      <w:r>
        <w:rPr>
          <w:rFonts w:hint="eastAsia" w:ascii="宋体" w:hAnsi="宋体" w:eastAsia="宋体" w:cs="宋体"/>
          <w:color w:val="auto"/>
          <w:szCs w:val="28"/>
        </w:rPr>
        <w:t>内设置</w:t>
      </w:r>
      <w:r>
        <w:rPr>
          <w:rFonts w:hint="eastAsia" w:ascii="宋体" w:hAnsi="宋体" w:eastAsia="宋体" w:cs="宋体"/>
          <w:strike w:val="0"/>
          <w:dstrike w:val="0"/>
          <w:color w:val="auto"/>
          <w:szCs w:val="28"/>
          <w:lang w:val="en-US" w:eastAsia="zh-CN"/>
        </w:rPr>
        <w:t>5台冷水主机</w:t>
      </w:r>
      <w:r>
        <w:rPr>
          <w:rFonts w:hint="eastAsia" w:ascii="宋体" w:hAnsi="宋体" w:eastAsia="宋体" w:cs="宋体"/>
          <w:color w:val="auto"/>
          <w:szCs w:val="28"/>
        </w:rPr>
        <w:t>（</w:t>
      </w:r>
      <w:r>
        <w:rPr>
          <w:rFonts w:hint="eastAsia" w:ascii="宋体" w:hAnsi="宋体" w:eastAsia="宋体" w:cs="宋体"/>
          <w:strike w:val="0"/>
          <w:dstrike w:val="0"/>
          <w:color w:val="auto"/>
          <w:szCs w:val="28"/>
          <w:lang w:val="en-US" w:eastAsia="zh-CN"/>
        </w:rPr>
        <w:t>离心式R134a机组</w:t>
      </w:r>
      <w:r>
        <w:rPr>
          <w:rFonts w:hint="eastAsia" w:ascii="宋体" w:hAnsi="宋体" w:eastAsia="宋体" w:cs="宋体"/>
          <w:color w:val="auto"/>
          <w:szCs w:val="28"/>
        </w:rPr>
        <w:t>）。</w:t>
      </w:r>
    </w:p>
    <w:p>
      <w:pPr>
        <w:pageBreakBefore w:val="0"/>
        <w:kinsoku/>
        <w:wordWrap/>
        <w:overflowPunct/>
        <w:topLinePunct w:val="0"/>
        <w:bidi w:val="0"/>
        <w:adjustRightInd w:val="0"/>
        <w:snapToGrid w:val="0"/>
        <w:spacing w:line="600" w:lineRule="exact"/>
        <w:ind w:firstLine="560"/>
        <w:textAlignment w:val="auto"/>
        <w:rPr>
          <w:rFonts w:hint="eastAsia" w:ascii="宋体" w:hAnsi="宋体" w:eastAsia="宋体" w:cs="宋体"/>
          <w:color w:val="auto"/>
          <w:szCs w:val="28"/>
        </w:rPr>
      </w:pPr>
      <w:r>
        <w:rPr>
          <w:rFonts w:hint="eastAsia" w:ascii="宋体" w:hAnsi="宋体" w:eastAsia="宋体" w:cs="宋体"/>
          <w:color w:val="auto"/>
          <w:szCs w:val="28"/>
        </w:rPr>
        <w:t>冷冻水系统采用冷源侧和负荷侧均变流量的一次泵（变频）变流量系统，冷冻水系统为闭式系统，冷水机组制备的</w:t>
      </w:r>
      <w:r>
        <w:rPr>
          <w:rFonts w:hint="eastAsia" w:ascii="宋体" w:hAnsi="宋体" w:eastAsia="宋体" w:cs="宋体"/>
          <w:color w:val="auto"/>
          <w:szCs w:val="28"/>
        </w:rPr>
        <w:t>5</w:t>
      </w:r>
      <w:r>
        <w:rPr>
          <w:rFonts w:hint="eastAsia" w:ascii="宋体" w:hAnsi="宋体" w:eastAsia="宋体" w:cs="宋体"/>
          <w:color w:val="auto"/>
          <w:szCs w:val="28"/>
        </w:rPr>
        <w:t>℃冷冻水由冷冻水循环泵送至新风空调机组的冷却盘管、风机盘管等。冷冻水回水（</w:t>
      </w:r>
      <w:r>
        <w:rPr>
          <w:rFonts w:hint="eastAsia" w:ascii="宋体" w:hAnsi="宋体" w:eastAsia="宋体" w:cs="宋体"/>
          <w:color w:val="auto"/>
          <w:szCs w:val="28"/>
        </w:rPr>
        <w:t>12</w:t>
      </w:r>
      <w:r>
        <w:rPr>
          <w:rFonts w:hint="eastAsia" w:ascii="宋体" w:hAnsi="宋体" w:eastAsia="宋体" w:cs="宋体"/>
          <w:color w:val="auto"/>
          <w:szCs w:val="28"/>
        </w:rPr>
        <w:t>℃）由冷冻水循环泵加压后送回冷冻机组。</w:t>
      </w:r>
    </w:p>
    <w:p>
      <w:pPr>
        <w:pageBreakBefore w:val="0"/>
        <w:kinsoku/>
        <w:wordWrap/>
        <w:overflowPunct/>
        <w:topLinePunct w:val="0"/>
        <w:bidi w:val="0"/>
        <w:adjustRightInd w:val="0"/>
        <w:snapToGrid w:val="0"/>
        <w:spacing w:line="600" w:lineRule="exact"/>
        <w:ind w:firstLine="560"/>
        <w:textAlignment w:val="auto"/>
        <w:rPr>
          <w:rFonts w:hint="eastAsia" w:ascii="宋体" w:hAnsi="宋体" w:eastAsia="宋体" w:cs="宋体"/>
          <w:color w:val="auto"/>
          <w:szCs w:val="28"/>
        </w:rPr>
      </w:pPr>
      <w:r>
        <w:rPr>
          <w:rFonts w:hint="eastAsia" w:ascii="宋体" w:hAnsi="宋体" w:eastAsia="宋体" w:cs="宋体"/>
          <w:color w:val="auto"/>
          <w:szCs w:val="28"/>
        </w:rPr>
        <w:t>冷冻系统为一次泵变频变流量系统，冷冻机与冷冻水泵一一对应。</w:t>
      </w:r>
      <w:r>
        <w:rPr>
          <w:rFonts w:hint="eastAsia" w:ascii="宋体" w:hAnsi="宋体" w:eastAsia="宋体" w:cs="宋体"/>
          <w:color w:val="auto"/>
          <w:szCs w:val="28"/>
        </w:rPr>
        <w:t>冷水机组根据负荷的大小进行调节，并提供不同的冷量。</w:t>
      </w:r>
    </w:p>
    <w:p>
      <w:pPr>
        <w:pStyle w:val="8"/>
        <w:pageBreakBefore w:val="0"/>
        <w:kinsoku/>
        <w:wordWrap/>
        <w:overflowPunct/>
        <w:topLinePunct w:val="0"/>
        <w:bidi w:val="0"/>
        <w:spacing w:line="600" w:lineRule="exact"/>
        <w:jc w:val="both"/>
        <w:textAlignment w:val="auto"/>
        <w:rPr>
          <w:rFonts w:hint="eastAsia" w:ascii="宋体" w:hAnsi="宋体" w:eastAsia="宋体" w:cs="宋体"/>
          <w:b w:val="0"/>
          <w:color w:val="auto"/>
          <w:szCs w:val="28"/>
        </w:rPr>
      </w:pPr>
      <w:bookmarkStart w:id="111" w:name="_Toc354144063"/>
      <w:bookmarkStart w:id="112" w:name="_Toc342424351"/>
      <w:bookmarkStart w:id="113" w:name="_Toc20337"/>
      <w:bookmarkStart w:id="114" w:name="_Toc204429129"/>
      <w:r>
        <w:rPr>
          <w:rFonts w:hint="eastAsia" w:ascii="宋体" w:hAnsi="宋体" w:eastAsia="宋体" w:cs="宋体"/>
          <w:b w:val="0"/>
          <w:color w:val="auto"/>
          <w:szCs w:val="28"/>
        </w:rPr>
        <w:t>2.5.</w:t>
      </w:r>
      <w:bookmarkEnd w:id="111"/>
      <w:bookmarkEnd w:id="112"/>
      <w:bookmarkStart w:id="115" w:name="_Toc393126626"/>
      <w:r>
        <w:rPr>
          <w:rFonts w:hint="eastAsia" w:ascii="宋体" w:hAnsi="宋体" w:eastAsia="宋体" w:cs="宋体"/>
          <w:b w:val="0"/>
          <w:color w:val="auto"/>
          <w:szCs w:val="28"/>
        </w:rPr>
        <w:t>3火灾报警系统及电讯工程等</w:t>
      </w:r>
      <w:bookmarkEnd w:id="113"/>
      <w:bookmarkEnd w:id="115"/>
    </w:p>
    <w:p>
      <w:pPr>
        <w:pageBreakBefore w:val="0"/>
        <w:kinsoku/>
        <w:wordWrap/>
        <w:overflowPunct/>
        <w:topLinePunct w:val="0"/>
        <w:bidi w:val="0"/>
        <w:snapToGrid w:val="0"/>
        <w:spacing w:line="600" w:lineRule="exact"/>
        <w:ind w:firstLine="560"/>
        <w:textAlignment w:val="auto"/>
        <w:rPr>
          <w:rFonts w:hint="eastAsia" w:ascii="宋体" w:hAnsi="宋体" w:eastAsia="宋体" w:cs="宋体"/>
          <w:color w:val="auto"/>
          <w:szCs w:val="28"/>
        </w:rPr>
      </w:pPr>
      <w:bookmarkStart w:id="116" w:name="_Toc342424356"/>
      <w:r>
        <w:rPr>
          <w:rFonts w:hint="eastAsia" w:ascii="宋体" w:hAnsi="宋体" w:eastAsia="宋体" w:cs="宋体"/>
          <w:color w:val="auto"/>
          <w:szCs w:val="28"/>
        </w:rPr>
        <w:t>1）火灾报警系统概述</w:t>
      </w:r>
    </w:p>
    <w:p>
      <w:pPr>
        <w:pageBreakBefore w:val="0"/>
        <w:kinsoku/>
        <w:wordWrap/>
        <w:overflowPunct/>
        <w:topLinePunct w:val="0"/>
        <w:bidi w:val="0"/>
        <w:snapToGrid w:val="0"/>
        <w:spacing w:line="600" w:lineRule="exact"/>
        <w:ind w:firstLine="560"/>
        <w:textAlignment w:val="auto"/>
        <w:rPr>
          <w:rFonts w:hint="eastAsia" w:ascii="宋体" w:hAnsi="宋体" w:eastAsia="宋体" w:cs="宋体"/>
          <w:color w:val="auto"/>
          <w:szCs w:val="28"/>
        </w:rPr>
      </w:pPr>
      <w:r>
        <w:rPr>
          <w:rFonts w:hint="eastAsia" w:ascii="宋体" w:hAnsi="宋体" w:eastAsia="宋体" w:cs="宋体"/>
          <w:color w:val="auto"/>
          <w:szCs w:val="28"/>
        </w:rPr>
        <w:t>厂区的火警系统采用控制中心报警、总线控制方式，</w:t>
      </w:r>
      <w:r>
        <w:rPr>
          <w:rFonts w:hint="eastAsia" w:ascii="宋体" w:hAnsi="宋体" w:eastAsia="宋体" w:cs="宋体"/>
          <w:color w:val="auto"/>
          <w:szCs w:val="28"/>
        </w:rPr>
        <w:t>对</w:t>
      </w:r>
      <w:r>
        <w:rPr>
          <w:rFonts w:hint="eastAsia" w:ascii="宋体" w:hAnsi="宋体" w:eastAsia="宋体" w:cs="宋体"/>
          <w:color w:val="auto"/>
          <w:lang w:val="en-US" w:eastAsia="zh-CN"/>
        </w:rPr>
        <w:t>101外延芯片厂房顶层（氨水回收装置）、115废气车间（氨水储罐）</w:t>
      </w:r>
      <w:r>
        <w:rPr>
          <w:rFonts w:hint="eastAsia" w:ascii="宋体" w:hAnsi="宋体" w:eastAsia="宋体" w:cs="宋体"/>
          <w:color w:val="auto"/>
          <w:szCs w:val="28"/>
        </w:rPr>
        <w:t>的火灾信号和消防设备进行监视及控制。各单体的火灾报警及消防联动控制线缆均由此消防控制中心引至。</w:t>
      </w:r>
    </w:p>
    <w:p>
      <w:pPr>
        <w:pageBreakBefore w:val="0"/>
        <w:kinsoku/>
        <w:wordWrap/>
        <w:overflowPunct/>
        <w:topLinePunct w:val="0"/>
        <w:bidi w:val="0"/>
        <w:snapToGrid w:val="0"/>
        <w:spacing w:line="600" w:lineRule="exact"/>
        <w:ind w:firstLine="560"/>
        <w:textAlignment w:val="auto"/>
        <w:rPr>
          <w:rFonts w:hint="eastAsia" w:ascii="宋体" w:hAnsi="宋体" w:eastAsia="宋体" w:cs="宋体"/>
          <w:color w:val="auto"/>
          <w:szCs w:val="28"/>
        </w:rPr>
      </w:pPr>
      <w:r>
        <w:rPr>
          <w:rFonts w:hint="eastAsia" w:ascii="宋体" w:hAnsi="宋体" w:eastAsia="宋体" w:cs="宋体"/>
          <w:color w:val="auto"/>
          <w:szCs w:val="28"/>
        </w:rPr>
        <w:t>厂区的消防控制中心（兼安防监控中心）设置在</w:t>
      </w:r>
      <w:r>
        <w:rPr>
          <w:rFonts w:hint="eastAsia" w:ascii="宋体" w:hAnsi="宋体" w:eastAsia="宋体" w:cs="宋体"/>
          <w:color w:val="auto"/>
          <w:szCs w:val="28"/>
        </w:rPr>
        <w:t>101</w:t>
      </w:r>
      <w:r>
        <w:rPr>
          <w:rFonts w:hint="eastAsia" w:ascii="宋体" w:hAnsi="宋体" w:eastAsia="宋体" w:cs="宋体"/>
          <w:color w:val="auto"/>
          <w:szCs w:val="28"/>
        </w:rPr>
        <w:t>外延芯片厂房一层的</w:t>
      </w:r>
      <w:r>
        <w:rPr>
          <w:rFonts w:hint="eastAsia" w:ascii="宋体" w:hAnsi="宋体" w:eastAsia="宋体" w:cs="宋体"/>
          <w:color w:val="auto"/>
          <w:szCs w:val="28"/>
        </w:rPr>
        <w:t>EHS</w:t>
      </w:r>
      <w:r>
        <w:rPr>
          <w:rFonts w:hint="eastAsia" w:ascii="宋体" w:hAnsi="宋体" w:eastAsia="宋体" w:cs="宋体"/>
          <w:color w:val="auto"/>
          <w:szCs w:val="28"/>
        </w:rPr>
        <w:t>室内。消防控制中心内设有火灾报警控制器、消防联动控制台、消防应急广播设备、电气火灾监控器、消防电源监控器、防火门监控器、中央电脑、</w:t>
      </w:r>
      <w:r>
        <w:rPr>
          <w:rFonts w:hint="eastAsia" w:ascii="宋体" w:hAnsi="宋体" w:eastAsia="宋体" w:cs="宋体"/>
          <w:color w:val="auto"/>
          <w:szCs w:val="28"/>
        </w:rPr>
        <w:t>CRT</w:t>
      </w:r>
      <w:r>
        <w:rPr>
          <w:rFonts w:hint="eastAsia" w:ascii="宋体" w:hAnsi="宋体" w:eastAsia="宋体" w:cs="宋体"/>
          <w:color w:val="auto"/>
          <w:szCs w:val="28"/>
        </w:rPr>
        <w:t>显示器、打印机、及消防专用电话总机等。</w:t>
      </w:r>
    </w:p>
    <w:p>
      <w:pPr>
        <w:pageBreakBefore w:val="0"/>
        <w:kinsoku/>
        <w:wordWrap/>
        <w:overflowPunct/>
        <w:topLinePunct w:val="0"/>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2）</w:t>
      </w:r>
      <w:r>
        <w:rPr>
          <w:rFonts w:hint="eastAsia" w:ascii="宋体" w:hAnsi="宋体" w:eastAsia="宋体" w:cs="宋体"/>
          <w:color w:val="auto"/>
          <w:szCs w:val="28"/>
        </w:rPr>
        <w:t>消防控制室：</w:t>
      </w:r>
    </w:p>
    <w:p>
      <w:pPr>
        <w:pageBreakBefore w:val="0"/>
        <w:kinsoku/>
        <w:wordWrap/>
        <w:overflowPunct/>
        <w:topLinePunct w:val="0"/>
        <w:bidi w:val="0"/>
        <w:snapToGrid w:val="0"/>
        <w:spacing w:line="600" w:lineRule="exact"/>
        <w:ind w:firstLine="560"/>
        <w:textAlignment w:val="auto"/>
        <w:rPr>
          <w:rFonts w:hint="eastAsia" w:ascii="宋体" w:hAnsi="宋体" w:eastAsia="宋体" w:cs="宋体"/>
          <w:color w:val="auto"/>
          <w:szCs w:val="28"/>
        </w:rPr>
      </w:pPr>
      <w:r>
        <w:rPr>
          <w:rFonts w:hint="eastAsia" w:ascii="宋体" w:hAnsi="宋体" w:eastAsia="宋体" w:cs="宋体"/>
          <w:color w:val="auto"/>
          <w:szCs w:val="28"/>
        </w:rPr>
        <w:t>（</w:t>
      </w:r>
      <w:r>
        <w:rPr>
          <w:rFonts w:hint="eastAsia" w:ascii="宋体" w:hAnsi="宋体" w:eastAsia="宋体" w:cs="宋体"/>
          <w:color w:val="auto"/>
          <w:szCs w:val="28"/>
        </w:rPr>
        <w:t>1</w:t>
      </w:r>
      <w:r>
        <w:rPr>
          <w:rFonts w:hint="eastAsia" w:ascii="宋体" w:hAnsi="宋体" w:eastAsia="宋体" w:cs="宋体"/>
          <w:color w:val="auto"/>
          <w:szCs w:val="28"/>
        </w:rPr>
        <w:t>）建筑物火灾危险类别如下：</w:t>
      </w:r>
      <w:r>
        <w:rPr>
          <w:rFonts w:hint="eastAsia" w:ascii="宋体" w:hAnsi="宋体" w:eastAsia="宋体" w:cs="宋体"/>
          <w:color w:val="auto"/>
          <w:szCs w:val="28"/>
        </w:rPr>
        <w:t>101</w:t>
      </w:r>
      <w:r>
        <w:rPr>
          <w:rFonts w:hint="eastAsia" w:ascii="宋体" w:hAnsi="宋体" w:eastAsia="宋体" w:cs="宋体"/>
          <w:color w:val="auto"/>
          <w:szCs w:val="28"/>
        </w:rPr>
        <w:t>外延芯片厂房建筑耐火等级一级，</w:t>
      </w:r>
      <w:r>
        <w:rPr>
          <w:rFonts w:hint="eastAsia" w:ascii="宋体" w:hAnsi="宋体" w:eastAsia="宋体" w:cs="宋体"/>
          <w:color w:val="auto"/>
          <w:szCs w:val="28"/>
        </w:rPr>
        <w:t>115废气车间</w:t>
      </w:r>
      <w:r>
        <w:rPr>
          <w:rFonts w:hint="eastAsia" w:ascii="宋体" w:hAnsi="宋体" w:eastAsia="宋体" w:cs="宋体"/>
          <w:color w:val="auto"/>
          <w:szCs w:val="28"/>
        </w:rPr>
        <w:t>建筑耐火等级二级。根据建筑火灾危险性类别，按照国家规范要求，设置了火灾报警系统。厂区的火警系统采用控制中心报警、总线控制方式，对厂区内所有单体建筑的火灾信号和消防设备进行监视及控制。各单体的火灾报警及消防联动控制线缆均由此消防控制中心引至。</w:t>
      </w:r>
    </w:p>
    <w:p>
      <w:pPr>
        <w:pageBreakBefore w:val="0"/>
        <w:kinsoku/>
        <w:wordWrap/>
        <w:overflowPunct/>
        <w:topLinePunct w:val="0"/>
        <w:bidi w:val="0"/>
        <w:snapToGrid w:val="0"/>
        <w:spacing w:line="600" w:lineRule="exact"/>
        <w:ind w:firstLine="560"/>
        <w:textAlignment w:val="auto"/>
        <w:rPr>
          <w:rFonts w:hint="eastAsia" w:ascii="宋体" w:hAnsi="宋体" w:eastAsia="宋体" w:cs="宋体"/>
          <w:color w:val="auto"/>
          <w:szCs w:val="28"/>
        </w:rPr>
      </w:pPr>
      <w:r>
        <w:rPr>
          <w:rFonts w:hint="eastAsia" w:ascii="宋体" w:hAnsi="宋体" w:eastAsia="宋体" w:cs="宋体"/>
          <w:color w:val="auto"/>
          <w:szCs w:val="28"/>
        </w:rPr>
        <w:t>厂区的消防控制中心（兼安防监控中心）设置在</w:t>
      </w:r>
      <w:r>
        <w:rPr>
          <w:rFonts w:hint="eastAsia" w:ascii="宋体" w:hAnsi="宋体" w:eastAsia="宋体" w:cs="宋体"/>
          <w:color w:val="auto"/>
          <w:szCs w:val="28"/>
        </w:rPr>
        <w:t>101</w:t>
      </w:r>
      <w:r>
        <w:rPr>
          <w:rFonts w:hint="eastAsia" w:ascii="宋体" w:hAnsi="宋体" w:eastAsia="宋体" w:cs="宋体"/>
          <w:color w:val="auto"/>
          <w:szCs w:val="28"/>
        </w:rPr>
        <w:t>号建筑（外延芯片厂房）一层的</w:t>
      </w:r>
      <w:r>
        <w:rPr>
          <w:rFonts w:hint="eastAsia" w:ascii="宋体" w:hAnsi="宋体" w:eastAsia="宋体" w:cs="宋体"/>
          <w:color w:val="auto"/>
          <w:szCs w:val="28"/>
        </w:rPr>
        <w:t>EHS</w:t>
      </w:r>
      <w:r>
        <w:rPr>
          <w:rFonts w:hint="eastAsia" w:ascii="宋体" w:hAnsi="宋体" w:eastAsia="宋体" w:cs="宋体"/>
          <w:color w:val="auto"/>
          <w:szCs w:val="28"/>
        </w:rPr>
        <w:t>室内。消防控制中心内设有火灾报警控制器、消防联动控制台、消防应急广播设备、电气火灾监控器、消防电源监控器、防火门监控器、中央电脑、</w:t>
      </w:r>
      <w:r>
        <w:rPr>
          <w:rFonts w:hint="eastAsia" w:ascii="宋体" w:hAnsi="宋体" w:eastAsia="宋体" w:cs="宋体"/>
          <w:color w:val="auto"/>
          <w:szCs w:val="28"/>
        </w:rPr>
        <w:t>CRT</w:t>
      </w:r>
      <w:r>
        <w:rPr>
          <w:rFonts w:hint="eastAsia" w:ascii="宋体" w:hAnsi="宋体" w:eastAsia="宋体" w:cs="宋体"/>
          <w:color w:val="auto"/>
          <w:szCs w:val="28"/>
        </w:rPr>
        <w:t>显示器、打印机、及消防专用电话总机等。</w:t>
      </w:r>
    </w:p>
    <w:p>
      <w:pPr>
        <w:pageBreakBefore w:val="0"/>
        <w:kinsoku/>
        <w:wordWrap/>
        <w:overflowPunct/>
        <w:topLinePunct w:val="0"/>
        <w:bidi w:val="0"/>
        <w:snapToGrid w:val="0"/>
        <w:spacing w:line="600" w:lineRule="exact"/>
        <w:ind w:firstLine="560"/>
        <w:textAlignment w:val="auto"/>
        <w:rPr>
          <w:rFonts w:hint="eastAsia" w:ascii="宋体" w:hAnsi="宋体" w:eastAsia="宋体" w:cs="宋体"/>
          <w:color w:val="auto"/>
          <w:szCs w:val="28"/>
        </w:rPr>
      </w:pPr>
      <w:r>
        <w:rPr>
          <w:rFonts w:hint="eastAsia" w:ascii="宋体" w:hAnsi="宋体" w:eastAsia="宋体" w:cs="宋体"/>
          <w:color w:val="auto"/>
          <w:szCs w:val="28"/>
        </w:rPr>
        <w:t>消防控制室内设有直接报警的外线直拨电话。</w:t>
      </w:r>
    </w:p>
    <w:p>
      <w:pPr>
        <w:pStyle w:val="8"/>
        <w:pageBreakBefore w:val="0"/>
        <w:kinsoku/>
        <w:wordWrap/>
        <w:overflowPunct/>
        <w:topLinePunct w:val="0"/>
        <w:bidi w:val="0"/>
        <w:spacing w:line="600" w:lineRule="exact"/>
        <w:jc w:val="both"/>
        <w:textAlignment w:val="auto"/>
        <w:rPr>
          <w:rFonts w:hint="eastAsia" w:ascii="宋体" w:hAnsi="宋体" w:eastAsia="宋体" w:cs="宋体"/>
          <w:b w:val="0"/>
          <w:color w:val="auto"/>
          <w:szCs w:val="28"/>
        </w:rPr>
      </w:pPr>
      <w:r>
        <w:rPr>
          <w:rFonts w:hint="eastAsia" w:ascii="宋体" w:hAnsi="宋体" w:eastAsia="宋体" w:cs="宋体"/>
          <w:b w:val="0"/>
          <w:color w:val="auto"/>
          <w:szCs w:val="28"/>
        </w:rPr>
        <w:t>2.5.4自动控制</w:t>
      </w:r>
      <w:bookmarkEnd w:id="116"/>
      <w:r>
        <w:rPr>
          <w:rFonts w:hint="eastAsia" w:ascii="宋体" w:hAnsi="宋体" w:eastAsia="宋体" w:cs="宋体"/>
          <w:b w:val="0"/>
          <w:color w:val="auto"/>
          <w:szCs w:val="28"/>
        </w:rPr>
        <w:t>及仪表</w:t>
      </w:r>
    </w:p>
    <w:p>
      <w:pPr>
        <w:pStyle w:val="39"/>
        <w:pageBreakBefore w:val="0"/>
        <w:kinsoku/>
        <w:wordWrap/>
        <w:overflowPunct/>
        <w:topLinePunct w:val="0"/>
        <w:bidi w:val="0"/>
        <w:spacing w:line="600" w:lineRule="exact"/>
        <w:ind w:right="333" w:firstLine="56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1、自控概述</w:t>
      </w:r>
    </w:p>
    <w:p>
      <w:pPr>
        <w:pStyle w:val="61"/>
        <w:pageBreakBefore w:val="0"/>
        <w:kinsoku/>
        <w:wordWrap/>
        <w:overflowPunct/>
        <w:topLinePunct w:val="0"/>
        <w:bidi w:val="0"/>
        <w:snapToGrid w:val="0"/>
        <w:spacing w:line="600" w:lineRule="exact"/>
        <w:ind w:firstLine="560" w:firstLineChars="200"/>
        <w:jc w:val="both"/>
        <w:textAlignment w:val="auto"/>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建设项目设立计算机集中监控系统，采用</w:t>
      </w:r>
      <w:r>
        <w:rPr>
          <w:rFonts w:hint="eastAsia" w:ascii="宋体" w:hAnsi="宋体" w:eastAsia="宋体" w:cs="宋体"/>
          <w:color w:val="auto"/>
          <w:kern w:val="2"/>
          <w:sz w:val="28"/>
          <w:szCs w:val="28"/>
        </w:rPr>
        <w:t>PLC</w:t>
      </w:r>
      <w:r>
        <w:rPr>
          <w:rFonts w:hint="eastAsia" w:ascii="宋体" w:hAnsi="宋体" w:eastAsia="宋体" w:cs="宋体"/>
          <w:color w:val="auto"/>
          <w:kern w:val="2"/>
          <w:sz w:val="28"/>
          <w:szCs w:val="28"/>
        </w:rPr>
        <w:t>集散控制方案，分区域设置本地</w:t>
      </w:r>
      <w:r>
        <w:rPr>
          <w:rFonts w:hint="eastAsia" w:ascii="宋体" w:hAnsi="宋体" w:eastAsia="宋体" w:cs="宋体"/>
          <w:color w:val="auto"/>
          <w:kern w:val="2"/>
          <w:sz w:val="28"/>
          <w:szCs w:val="28"/>
        </w:rPr>
        <w:t>I/O</w:t>
      </w:r>
      <w:r>
        <w:rPr>
          <w:rFonts w:hint="eastAsia" w:ascii="宋体" w:hAnsi="宋体" w:eastAsia="宋体" w:cs="宋体"/>
          <w:color w:val="auto"/>
          <w:kern w:val="2"/>
          <w:sz w:val="28"/>
          <w:szCs w:val="28"/>
        </w:rPr>
        <w:t>现场控制器进行数据采集和控制。由设在</w:t>
      </w:r>
      <w:r>
        <w:rPr>
          <w:rFonts w:hint="eastAsia" w:ascii="宋体" w:hAnsi="宋体" w:eastAsia="宋体" w:cs="宋体"/>
          <w:color w:val="auto"/>
          <w:kern w:val="2"/>
          <w:sz w:val="28"/>
          <w:szCs w:val="28"/>
        </w:rPr>
        <w:t>101</w:t>
      </w:r>
      <w:r>
        <w:rPr>
          <w:rFonts w:hint="eastAsia" w:ascii="宋体" w:hAnsi="宋体" w:eastAsia="宋体" w:cs="宋体"/>
          <w:color w:val="auto"/>
          <w:kern w:val="2"/>
          <w:sz w:val="28"/>
          <w:szCs w:val="28"/>
        </w:rPr>
        <w:t>号建筑</w:t>
      </w:r>
      <w:r>
        <w:rPr>
          <w:rFonts w:hint="eastAsia" w:ascii="宋体" w:hAnsi="宋体" w:eastAsia="宋体" w:cs="宋体"/>
          <w:color w:val="auto"/>
          <w:kern w:val="2"/>
          <w:sz w:val="28"/>
          <w:szCs w:val="28"/>
        </w:rPr>
        <w:t>EHS</w:t>
      </w:r>
      <w:r>
        <w:rPr>
          <w:rFonts w:hint="eastAsia" w:ascii="宋体" w:hAnsi="宋体" w:eastAsia="宋体" w:cs="宋体"/>
          <w:color w:val="auto"/>
          <w:kern w:val="2"/>
          <w:sz w:val="28"/>
          <w:szCs w:val="28"/>
        </w:rPr>
        <w:t>监控室内的操作站进行集中监控、管理。以图形方式显示所监控系统的运行情况，实时显示系统动态参数、运行状态和故障情况，且故障报警显示优先。</w:t>
      </w:r>
    </w:p>
    <w:p>
      <w:pPr>
        <w:pStyle w:val="61"/>
        <w:pageBreakBefore w:val="0"/>
        <w:kinsoku/>
        <w:wordWrap/>
        <w:overflowPunct/>
        <w:topLinePunct w:val="0"/>
        <w:bidi w:val="0"/>
        <w:snapToGrid w:val="0"/>
        <w:spacing w:line="600" w:lineRule="exact"/>
        <w:ind w:firstLine="560" w:firstLineChars="200"/>
        <w:jc w:val="both"/>
        <w:textAlignment w:val="auto"/>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现场被控设备采用</w:t>
      </w:r>
      <w:r>
        <w:rPr>
          <w:rFonts w:hint="eastAsia" w:ascii="宋体" w:hAnsi="宋体" w:eastAsia="宋体" w:cs="宋体"/>
          <w:color w:val="auto"/>
          <w:kern w:val="2"/>
          <w:sz w:val="28"/>
          <w:szCs w:val="28"/>
        </w:rPr>
        <w:t>PLC</w:t>
      </w:r>
      <w:r>
        <w:rPr>
          <w:rFonts w:hint="eastAsia" w:ascii="宋体" w:hAnsi="宋体" w:eastAsia="宋体" w:cs="宋体"/>
          <w:color w:val="auto"/>
          <w:kern w:val="2"/>
          <w:sz w:val="28"/>
          <w:szCs w:val="28"/>
        </w:rPr>
        <w:t>直接数字控制器进行数据采集。监控站能监控所有控制器</w:t>
      </w:r>
      <w:r>
        <w:rPr>
          <w:rFonts w:hint="eastAsia" w:ascii="宋体" w:hAnsi="宋体" w:eastAsia="宋体" w:cs="宋体"/>
          <w:color w:val="auto"/>
          <w:kern w:val="2"/>
          <w:sz w:val="28"/>
          <w:szCs w:val="28"/>
        </w:rPr>
        <w:t>I/O</w:t>
      </w:r>
      <w:r>
        <w:rPr>
          <w:rFonts w:hint="eastAsia" w:ascii="宋体" w:hAnsi="宋体" w:eastAsia="宋体" w:cs="宋体"/>
          <w:color w:val="auto"/>
          <w:kern w:val="2"/>
          <w:sz w:val="28"/>
          <w:szCs w:val="28"/>
        </w:rPr>
        <w:t>点的内容及监测所连接的与设备成套的控制盘的监控内容。中央监控站、监控网络及</w:t>
      </w:r>
      <w:r>
        <w:rPr>
          <w:rFonts w:hint="eastAsia" w:ascii="宋体" w:hAnsi="宋体" w:eastAsia="宋体" w:cs="宋体"/>
          <w:color w:val="auto"/>
          <w:kern w:val="2"/>
          <w:sz w:val="28"/>
          <w:szCs w:val="28"/>
        </w:rPr>
        <w:t>PLC</w:t>
      </w:r>
      <w:r>
        <w:rPr>
          <w:rFonts w:hint="eastAsia" w:ascii="宋体" w:hAnsi="宋体" w:eastAsia="宋体" w:cs="宋体"/>
          <w:color w:val="auto"/>
          <w:kern w:val="2"/>
          <w:sz w:val="28"/>
          <w:szCs w:val="28"/>
        </w:rPr>
        <w:t>控制器等考虑将来进行扩展的可能性。</w:t>
      </w:r>
    </w:p>
    <w:p>
      <w:pPr>
        <w:pStyle w:val="39"/>
        <w:pageBreakBefore w:val="0"/>
        <w:kinsoku/>
        <w:wordWrap/>
        <w:overflowPunct/>
        <w:topLinePunct w:val="0"/>
        <w:bidi w:val="0"/>
        <w:spacing w:line="600" w:lineRule="exact"/>
        <w:ind w:right="333" w:firstLine="56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2、仪表检测控制</w:t>
      </w:r>
    </w:p>
    <w:p>
      <w:pPr>
        <w:pageBreakBefore w:val="0"/>
        <w:kinsoku/>
        <w:wordWrap/>
        <w:overflowPunct/>
        <w:topLinePunct w:val="0"/>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氨水储槽装设就地压差液位计</w:t>
      </w:r>
      <w:r>
        <w:rPr>
          <w:rFonts w:hint="eastAsia" w:ascii="宋体" w:hAnsi="宋体" w:eastAsia="宋体" w:cs="宋体"/>
          <w:color w:val="auto"/>
          <w:szCs w:val="28"/>
        </w:rPr>
        <w:t>、涡街流量计等</w:t>
      </w:r>
      <w:r>
        <w:rPr>
          <w:rFonts w:hint="eastAsia" w:ascii="宋体" w:hAnsi="宋体" w:eastAsia="宋体" w:cs="宋体"/>
          <w:color w:val="auto"/>
          <w:szCs w:val="28"/>
        </w:rPr>
        <w:t>，储槽均设置远传显示的液位计(2套)、压力表。并设置液位上、下限报警联锁装置和压力上限报警装置。</w:t>
      </w:r>
    </w:p>
    <w:p>
      <w:pPr>
        <w:pageBreakBefore w:val="0"/>
        <w:kinsoku/>
        <w:wordWrap/>
        <w:overflowPunct/>
        <w:topLinePunct w:val="0"/>
        <w:bidi w:val="0"/>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3、仪表和设备选型</w:t>
      </w:r>
    </w:p>
    <w:p>
      <w:pPr>
        <w:pageBreakBefore w:val="0"/>
        <w:kinsoku/>
        <w:wordWrap/>
        <w:overflowPunct/>
        <w:topLinePunct w:val="0"/>
        <w:bidi w:val="0"/>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 xml:space="preserve">    1）就地显示的温度计、压力表，均选用国内产品，压力表选用0-1.0MPa和0-1.6MPa的压力表，防爆区域内选用防爆型压力变送器。</w:t>
      </w:r>
    </w:p>
    <w:p>
      <w:pPr>
        <w:pageBreakBefore w:val="0"/>
        <w:kinsoku/>
        <w:wordWrap/>
        <w:overflowPunct/>
        <w:topLinePunct w:val="0"/>
        <w:bidi w:val="0"/>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 xml:space="preserve">    2）压力及温度变送器，选用带有防雷单元功能的、保五年无故障间断运行的智能型压力变送器。</w:t>
      </w:r>
    </w:p>
    <w:p>
      <w:pPr>
        <w:pStyle w:val="39"/>
        <w:pageBreakBefore w:val="0"/>
        <w:kinsoku/>
        <w:wordWrap/>
        <w:overflowPunct/>
        <w:topLinePunct w:val="0"/>
        <w:bidi w:val="0"/>
        <w:spacing w:line="600" w:lineRule="exact"/>
        <w:ind w:right="333" w:firstLine="560"/>
        <w:textAlignment w:val="auto"/>
        <w:rPr>
          <w:rFonts w:hint="eastAsia" w:ascii="宋体" w:hAnsi="宋体" w:eastAsia="宋体" w:cs="宋体"/>
          <w:color w:val="auto"/>
          <w:szCs w:val="28"/>
        </w:rPr>
      </w:pPr>
      <w:r>
        <w:rPr>
          <w:rFonts w:hint="eastAsia" w:ascii="宋体" w:hAnsi="宋体" w:eastAsia="宋体" w:cs="宋体"/>
          <w:color w:val="auto"/>
          <w:szCs w:val="28"/>
        </w:rPr>
        <w:t xml:space="preserve">   3）计算机监控系统、硬件和操作系统件选用国外工业机系列。应用软件则由国内有实力和高信誉度的单位开发调试，安装和投运，便于今后的维修和升级换代。</w:t>
      </w:r>
    </w:p>
    <w:p>
      <w:pPr>
        <w:pStyle w:val="39"/>
        <w:pageBreakBefore w:val="0"/>
        <w:kinsoku/>
        <w:wordWrap/>
        <w:overflowPunct/>
        <w:topLinePunct w:val="0"/>
        <w:bidi w:val="0"/>
        <w:spacing w:line="600" w:lineRule="exact"/>
        <w:ind w:right="333" w:firstLine="56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4、有毒气体检测器</w:t>
      </w:r>
    </w:p>
    <w:p>
      <w:pPr>
        <w:pStyle w:val="39"/>
        <w:pageBreakBefore w:val="0"/>
        <w:kinsoku/>
        <w:wordWrap/>
        <w:overflowPunct/>
        <w:topLinePunct w:val="0"/>
        <w:bidi w:val="0"/>
        <w:spacing w:line="600" w:lineRule="exact"/>
        <w:ind w:right="333" w:firstLine="56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101外延生产厂房氨气回收装置设有毒气体报警器10个</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检测器安装高度高出释放源0.6m。并将现场检测信号引到</w:t>
      </w:r>
      <w:r>
        <w:rPr>
          <w:rFonts w:hint="eastAsia" w:ascii="宋体" w:hAnsi="宋体" w:eastAsia="宋体" w:cs="宋体"/>
          <w:color w:val="auto"/>
          <w:sz w:val="28"/>
          <w:szCs w:val="28"/>
        </w:rPr>
        <w:t>在</w:t>
      </w:r>
      <w:r>
        <w:rPr>
          <w:rFonts w:hint="eastAsia" w:ascii="宋体" w:hAnsi="宋体" w:eastAsia="宋体" w:cs="宋体"/>
          <w:color w:val="auto"/>
          <w:sz w:val="28"/>
          <w:szCs w:val="28"/>
        </w:rPr>
        <w:t>101</w:t>
      </w:r>
      <w:r>
        <w:rPr>
          <w:rFonts w:hint="eastAsia" w:ascii="宋体" w:hAnsi="宋体" w:eastAsia="宋体" w:cs="宋体"/>
          <w:color w:val="auto"/>
          <w:sz w:val="28"/>
          <w:szCs w:val="28"/>
        </w:rPr>
        <w:t>号建筑外延芯片厂房</w:t>
      </w:r>
      <w:r>
        <w:rPr>
          <w:rFonts w:hint="eastAsia" w:ascii="宋体" w:hAnsi="宋体" w:eastAsia="宋体" w:cs="宋体"/>
          <w:color w:val="auto"/>
          <w:sz w:val="28"/>
          <w:szCs w:val="28"/>
        </w:rPr>
        <w:t>EHS</w:t>
      </w:r>
      <w:r>
        <w:rPr>
          <w:rFonts w:hint="eastAsia" w:ascii="宋体" w:hAnsi="宋体" w:eastAsia="宋体" w:cs="宋体"/>
          <w:color w:val="auto"/>
          <w:sz w:val="28"/>
          <w:szCs w:val="28"/>
        </w:rPr>
        <w:t>间内</w:t>
      </w:r>
      <w:r>
        <w:rPr>
          <w:rFonts w:hint="eastAsia" w:ascii="宋体" w:hAnsi="宋体" w:eastAsia="宋体" w:cs="宋体"/>
          <w:color w:val="auto"/>
          <w:sz w:val="28"/>
          <w:szCs w:val="28"/>
        </w:rPr>
        <w:t>显示报警。该项目气体检测装置型号规格见下表。</w:t>
      </w:r>
    </w:p>
    <w:p>
      <w:pPr>
        <w:pageBreakBefore w:val="0"/>
        <w:kinsoku/>
        <w:wordWrap/>
        <w:overflowPunct/>
        <w:topLinePunct w:val="0"/>
        <w:bidi w:val="0"/>
        <w:spacing w:line="600" w:lineRule="exact"/>
        <w:jc w:val="center"/>
        <w:textAlignment w:val="auto"/>
        <w:rPr>
          <w:rStyle w:val="40"/>
          <w:rFonts w:hint="eastAsia" w:ascii="宋体" w:hAnsi="宋体" w:eastAsia="宋体" w:cs="宋体"/>
          <w:bCs/>
          <w:color w:val="auto"/>
        </w:rPr>
      </w:pPr>
      <w:r>
        <w:rPr>
          <w:rStyle w:val="40"/>
          <w:rFonts w:hint="eastAsia" w:ascii="宋体" w:hAnsi="宋体" w:eastAsia="宋体" w:cs="宋体"/>
          <w:bCs/>
          <w:color w:val="auto"/>
        </w:rPr>
        <w:t xml:space="preserve">2.5-1  </w:t>
      </w:r>
      <w:r>
        <w:rPr>
          <w:rStyle w:val="40"/>
          <w:rFonts w:hint="eastAsia" w:ascii="宋体" w:hAnsi="宋体" w:eastAsia="宋体" w:cs="宋体"/>
          <w:bCs/>
          <w:color w:val="auto"/>
          <w:lang w:eastAsia="zh-CN"/>
        </w:rPr>
        <w:t>有毒</w:t>
      </w:r>
      <w:r>
        <w:rPr>
          <w:rStyle w:val="40"/>
          <w:rFonts w:hint="eastAsia" w:ascii="宋体" w:hAnsi="宋体" w:eastAsia="宋体" w:cs="宋体"/>
          <w:bCs/>
          <w:color w:val="auto"/>
        </w:rPr>
        <w:t>气体探测器分布情况一览表</w:t>
      </w:r>
    </w:p>
    <w:tbl>
      <w:tblPr>
        <w:tblStyle w:val="28"/>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1575"/>
        <w:gridCol w:w="1266"/>
        <w:gridCol w:w="923"/>
        <w:gridCol w:w="1021"/>
        <w:gridCol w:w="1356"/>
        <w:gridCol w:w="1356"/>
        <w:gridCol w:w="135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217" w:type="pct"/>
            <w:tcBorders>
              <w:right w:val="single" w:color="auto" w:sz="4" w:space="0"/>
            </w:tcBorders>
            <w:vAlign w:val="center"/>
          </w:tcPr>
          <w:p>
            <w:pPr>
              <w:adjustRightInd w:val="0"/>
              <w:snapToGrid w:val="0"/>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序号</w:t>
            </w:r>
          </w:p>
        </w:tc>
        <w:tc>
          <w:tcPr>
            <w:tcW w:w="867" w:type="pct"/>
            <w:tcBorders>
              <w:left w:val="single" w:color="auto" w:sz="4" w:space="0"/>
              <w:right w:val="single" w:color="auto" w:sz="4" w:space="0"/>
            </w:tcBorders>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安装位置</w:t>
            </w:r>
          </w:p>
        </w:tc>
        <w:tc>
          <w:tcPr>
            <w:tcW w:w="579" w:type="pct"/>
            <w:tcBorders>
              <w:left w:val="single" w:color="auto" w:sz="4" w:space="0"/>
            </w:tcBorders>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型号规格</w:t>
            </w:r>
          </w:p>
        </w:tc>
        <w:tc>
          <w:tcPr>
            <w:tcW w:w="516" w:type="pct"/>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数量</w:t>
            </w:r>
          </w:p>
        </w:tc>
        <w:tc>
          <w:tcPr>
            <w:tcW w:w="569" w:type="pct"/>
            <w:vAlign w:val="center"/>
          </w:tcPr>
          <w:p>
            <w:pPr>
              <w:adjustRightInd w:val="0"/>
              <w:snapToGrid w:val="0"/>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状态</w:t>
            </w:r>
          </w:p>
        </w:tc>
        <w:tc>
          <w:tcPr>
            <w:tcW w:w="749" w:type="pct"/>
            <w:vAlign w:val="center"/>
          </w:tcPr>
          <w:p>
            <w:pPr>
              <w:adjustRightInd w:val="0"/>
              <w:snapToGrid w:val="0"/>
              <w:spacing w:line="280" w:lineRule="exact"/>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报警值</w:t>
            </w:r>
          </w:p>
        </w:tc>
        <w:tc>
          <w:tcPr>
            <w:tcW w:w="749" w:type="pct"/>
            <w:vAlign w:val="center"/>
          </w:tcPr>
          <w:p>
            <w:pPr>
              <w:adjustRightInd w:val="0"/>
              <w:snapToGrid w:val="0"/>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备注</w:t>
            </w:r>
          </w:p>
        </w:tc>
        <w:tc>
          <w:tcPr>
            <w:tcW w:w="750" w:type="pct"/>
            <w:vAlign w:val="center"/>
          </w:tcPr>
          <w:p>
            <w:pPr>
              <w:adjustRightInd w:val="0"/>
              <w:snapToGrid w:val="0"/>
              <w:spacing w:line="28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有效期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5" w:hRule="atLeast"/>
          <w:jc w:val="center"/>
        </w:trPr>
        <w:tc>
          <w:tcPr>
            <w:tcW w:w="217" w:type="pct"/>
            <w:tcBorders>
              <w:right w:val="single" w:color="auto" w:sz="4" w:space="0"/>
            </w:tcBorders>
            <w:vAlign w:val="center"/>
          </w:tcPr>
          <w:p>
            <w:pPr>
              <w:adjustRightInd w:val="0"/>
              <w:snapToGrid w:val="0"/>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w:t>
            </w:r>
          </w:p>
        </w:tc>
        <w:tc>
          <w:tcPr>
            <w:tcW w:w="867" w:type="pct"/>
            <w:tcBorders>
              <w:left w:val="single" w:color="auto" w:sz="4" w:space="0"/>
              <w:right w:val="single" w:color="auto" w:sz="4" w:space="0"/>
            </w:tcBorders>
            <w:vAlign w:val="center"/>
          </w:tcPr>
          <w:p>
            <w:pPr>
              <w:adjustRightInd w:val="0"/>
              <w:snapToGrid w:val="0"/>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101外延生产厂房氨气回收装置</w:t>
            </w:r>
          </w:p>
        </w:tc>
        <w:tc>
          <w:tcPr>
            <w:tcW w:w="579" w:type="pct"/>
            <w:tcBorders>
              <w:left w:val="single" w:color="auto" w:sz="4" w:space="0"/>
            </w:tcBorders>
            <w:vAlign w:val="center"/>
          </w:tcPr>
          <w:p>
            <w:pPr>
              <w:spacing w:line="28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GM-2000NH3</w:t>
            </w:r>
          </w:p>
        </w:tc>
        <w:tc>
          <w:tcPr>
            <w:tcW w:w="516" w:type="pct"/>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10</w:t>
            </w:r>
          </w:p>
        </w:tc>
        <w:tc>
          <w:tcPr>
            <w:tcW w:w="569" w:type="pct"/>
            <w:vAlign w:val="center"/>
          </w:tcPr>
          <w:p>
            <w:pPr>
              <w:adjustRightInd w:val="0"/>
              <w:snapToGrid w:val="0"/>
              <w:spacing w:line="280" w:lineRule="exact"/>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rPr>
              <w:t>良好</w:t>
            </w:r>
          </w:p>
        </w:tc>
        <w:tc>
          <w:tcPr>
            <w:tcW w:w="749" w:type="pct"/>
            <w:vAlign w:val="center"/>
          </w:tcPr>
          <w:p>
            <w:pPr>
              <w:adjustRightInd w:val="0"/>
              <w:snapToGrid w:val="0"/>
              <w:spacing w:line="28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40PPM</w:t>
            </w:r>
          </w:p>
        </w:tc>
        <w:tc>
          <w:tcPr>
            <w:tcW w:w="749" w:type="pct"/>
            <w:vAlign w:val="center"/>
          </w:tcPr>
          <w:p>
            <w:pPr>
              <w:adjustRightInd w:val="0"/>
              <w:snapToGrid w:val="0"/>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有毒气体报警器</w:t>
            </w:r>
          </w:p>
        </w:tc>
        <w:tc>
          <w:tcPr>
            <w:tcW w:w="750" w:type="pct"/>
            <w:vAlign w:val="center"/>
          </w:tcPr>
          <w:p>
            <w:pPr>
              <w:adjustRightInd w:val="0"/>
              <w:snapToGrid w:val="0"/>
              <w:spacing w:line="28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2022-06-11</w:t>
            </w:r>
          </w:p>
        </w:tc>
      </w:tr>
      <w:bookmarkEnd w:id="114"/>
    </w:tbl>
    <w:p>
      <w:pPr>
        <w:pStyle w:val="7"/>
        <w:pageBreakBefore w:val="0"/>
        <w:widowControl w:val="0"/>
        <w:kinsoku/>
        <w:wordWrap/>
        <w:overflowPunct/>
        <w:topLinePunct w:val="0"/>
        <w:bidi w:val="0"/>
        <w:adjustRightInd/>
        <w:snapToGrid/>
        <w:spacing w:line="600" w:lineRule="exact"/>
        <w:textAlignment w:val="auto"/>
        <w:rPr>
          <w:rFonts w:hint="eastAsia" w:ascii="宋体" w:hAnsi="宋体" w:eastAsia="宋体" w:cs="宋体"/>
          <w:color w:val="auto"/>
          <w:sz w:val="30"/>
          <w:szCs w:val="30"/>
        </w:rPr>
      </w:pPr>
      <w:bookmarkStart w:id="117" w:name="_Toc525109142"/>
      <w:bookmarkStart w:id="118" w:name="_Toc18726"/>
      <w:bookmarkStart w:id="119" w:name="_Toc473"/>
      <w:bookmarkStart w:id="120" w:name="_Toc21682"/>
      <w:bookmarkStart w:id="121" w:name="_Toc204219857"/>
      <w:bookmarkStart w:id="122" w:name="_Toc204429132"/>
      <w:r>
        <w:rPr>
          <w:rFonts w:hint="eastAsia" w:ascii="宋体" w:hAnsi="宋体" w:eastAsia="宋体" w:cs="宋体"/>
          <w:color w:val="auto"/>
          <w:sz w:val="30"/>
          <w:szCs w:val="30"/>
        </w:rPr>
        <w:t>2.6消防及安全设施</w:t>
      </w:r>
      <w:bookmarkEnd w:id="117"/>
      <w:bookmarkEnd w:id="118"/>
      <w:bookmarkEnd w:id="119"/>
      <w:bookmarkEnd w:id="120"/>
    </w:p>
    <w:p>
      <w:pPr>
        <w:pStyle w:val="8"/>
        <w:pageBreakBefore w:val="0"/>
        <w:widowControl w:val="0"/>
        <w:kinsoku/>
        <w:wordWrap/>
        <w:overflowPunct/>
        <w:topLinePunct w:val="0"/>
        <w:bidi w:val="0"/>
        <w:adjustRightInd/>
        <w:snapToGrid/>
        <w:spacing w:line="600" w:lineRule="exact"/>
        <w:jc w:val="both"/>
        <w:textAlignment w:val="auto"/>
        <w:rPr>
          <w:rFonts w:hint="eastAsia" w:ascii="宋体" w:hAnsi="宋体" w:eastAsia="宋体" w:cs="宋体"/>
          <w:b w:val="0"/>
          <w:color w:val="auto"/>
          <w:szCs w:val="28"/>
        </w:rPr>
      </w:pPr>
      <w:r>
        <w:rPr>
          <w:rFonts w:hint="eastAsia" w:ascii="宋体" w:hAnsi="宋体" w:eastAsia="宋体" w:cs="宋体"/>
          <w:b w:val="0"/>
          <w:color w:val="auto"/>
          <w:szCs w:val="28"/>
        </w:rPr>
        <w:t>2.6.1消防</w:t>
      </w:r>
      <w:bookmarkEnd w:id="121"/>
      <w:bookmarkEnd w:id="122"/>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建设项目</w:t>
      </w:r>
      <w:r>
        <w:rPr>
          <w:rFonts w:hint="eastAsia" w:ascii="宋体" w:hAnsi="宋体" w:eastAsia="宋体" w:cs="宋体"/>
          <w:color w:val="auto"/>
          <w:szCs w:val="28"/>
        </w:rPr>
        <w:t>101</w:t>
      </w:r>
      <w:r>
        <w:rPr>
          <w:rFonts w:hint="eastAsia" w:ascii="宋体" w:hAnsi="宋体" w:eastAsia="宋体" w:cs="宋体"/>
          <w:color w:val="auto"/>
          <w:szCs w:val="28"/>
        </w:rPr>
        <w:t>外延芯片厂房为火灾最不利建筑，本建筑为一级耐火等级的丙类厂房，占地面积为</w:t>
      </w:r>
      <w:r>
        <w:rPr>
          <w:rFonts w:hint="eastAsia" w:ascii="宋体" w:hAnsi="宋体" w:eastAsia="宋体" w:cs="宋体"/>
          <w:color w:val="auto"/>
          <w:szCs w:val="28"/>
        </w:rPr>
        <w:t>32453.37 m²</w:t>
      </w:r>
      <w:r>
        <w:rPr>
          <w:rFonts w:hint="eastAsia" w:ascii="宋体" w:hAnsi="宋体" w:eastAsia="宋体" w:cs="宋体"/>
          <w:color w:val="auto"/>
          <w:szCs w:val="28"/>
        </w:rPr>
        <w:t>，建筑总高度为</w:t>
      </w:r>
      <w:r>
        <w:rPr>
          <w:rFonts w:hint="eastAsia" w:ascii="宋体" w:hAnsi="宋体" w:eastAsia="宋体" w:cs="宋体"/>
          <w:color w:val="auto"/>
          <w:szCs w:val="28"/>
        </w:rPr>
        <w:t>31.50m</w:t>
      </w:r>
      <w:r>
        <w:rPr>
          <w:rFonts w:hint="eastAsia" w:ascii="宋体" w:hAnsi="宋体" w:eastAsia="宋体" w:cs="宋体"/>
          <w:color w:val="auto"/>
          <w:szCs w:val="28"/>
        </w:rPr>
        <w:t>，体积大于</w:t>
      </w:r>
      <w:r>
        <w:rPr>
          <w:rFonts w:hint="eastAsia" w:ascii="宋体" w:hAnsi="宋体" w:eastAsia="宋体" w:cs="宋体"/>
          <w:color w:val="auto"/>
          <w:szCs w:val="28"/>
        </w:rPr>
        <w:t>50000m³</w:t>
      </w:r>
      <w:r>
        <w:rPr>
          <w:rFonts w:hint="eastAsia" w:ascii="宋体" w:hAnsi="宋体" w:eastAsia="宋体" w:cs="宋体"/>
          <w:color w:val="auto"/>
          <w:szCs w:val="28"/>
        </w:rPr>
        <w:t>，室内消防用水量为</w:t>
      </w:r>
      <w:r>
        <w:rPr>
          <w:rFonts w:hint="eastAsia" w:ascii="宋体" w:hAnsi="宋体" w:eastAsia="宋体" w:cs="宋体"/>
          <w:color w:val="auto"/>
          <w:szCs w:val="28"/>
        </w:rPr>
        <w:t>30 L/s</w:t>
      </w:r>
      <w:r>
        <w:rPr>
          <w:rFonts w:hint="eastAsia" w:ascii="宋体" w:hAnsi="宋体" w:eastAsia="宋体" w:cs="宋体"/>
          <w:color w:val="auto"/>
          <w:szCs w:val="28"/>
        </w:rPr>
        <w:t>，室外消防用水量为</w:t>
      </w:r>
      <w:r>
        <w:rPr>
          <w:rFonts w:hint="eastAsia" w:ascii="宋体" w:hAnsi="宋体" w:eastAsia="宋体" w:cs="宋体"/>
          <w:color w:val="auto"/>
          <w:szCs w:val="28"/>
        </w:rPr>
        <w:t>40L/s</w:t>
      </w:r>
      <w:r>
        <w:rPr>
          <w:rFonts w:hint="eastAsia" w:ascii="宋体" w:hAnsi="宋体" w:eastAsia="宋体" w:cs="宋体"/>
          <w:color w:val="auto"/>
          <w:szCs w:val="28"/>
        </w:rPr>
        <w:t>，火灾延续时间为</w:t>
      </w:r>
      <w:r>
        <w:rPr>
          <w:rFonts w:hint="eastAsia" w:ascii="宋体" w:hAnsi="宋体" w:eastAsia="宋体" w:cs="宋体"/>
          <w:color w:val="auto"/>
          <w:szCs w:val="28"/>
        </w:rPr>
        <w:t>3h</w:t>
      </w:r>
      <w:r>
        <w:rPr>
          <w:rFonts w:hint="eastAsia" w:ascii="宋体" w:hAnsi="宋体" w:eastAsia="宋体" w:cs="宋体"/>
          <w:color w:val="auto"/>
          <w:szCs w:val="28"/>
        </w:rPr>
        <w:t>，本厂房所需要的消火栓用水总量为</w:t>
      </w:r>
      <w:r>
        <w:rPr>
          <w:rFonts w:hint="eastAsia" w:ascii="宋体" w:hAnsi="宋体" w:eastAsia="宋体" w:cs="宋体"/>
          <w:color w:val="auto"/>
          <w:szCs w:val="28"/>
        </w:rPr>
        <w:t>756m</w:t>
      </w:r>
      <w:r>
        <w:rPr>
          <w:rFonts w:hint="eastAsia" w:ascii="宋体" w:hAnsi="宋体" w:eastAsia="宋体" w:cs="宋体"/>
          <w:color w:val="auto"/>
          <w:szCs w:val="28"/>
        </w:rPr>
        <w:t>³</w:t>
      </w:r>
      <w:r>
        <w:rPr>
          <w:rFonts w:hint="eastAsia" w:ascii="宋体" w:hAnsi="宋体" w:eastAsia="宋体" w:cs="宋体"/>
          <w:color w:val="auto"/>
          <w:szCs w:val="28"/>
        </w:rPr>
        <w:t>，</w:t>
      </w:r>
      <w:r>
        <w:rPr>
          <w:rFonts w:hint="eastAsia" w:ascii="宋体" w:hAnsi="宋体" w:eastAsia="宋体" w:cs="宋体"/>
          <w:color w:val="auto"/>
          <w:szCs w:val="28"/>
        </w:rPr>
        <w:t>目</w:t>
      </w:r>
      <w:r>
        <w:rPr>
          <w:rFonts w:hint="eastAsia" w:ascii="宋体" w:hAnsi="宋体" w:eastAsia="宋体" w:cs="宋体"/>
          <w:color w:val="auto"/>
          <w:szCs w:val="28"/>
        </w:rPr>
        <w:t>101</w:t>
      </w:r>
      <w:r>
        <w:rPr>
          <w:rFonts w:hint="eastAsia" w:ascii="宋体" w:hAnsi="宋体" w:eastAsia="宋体" w:cs="宋体"/>
          <w:color w:val="auto"/>
          <w:szCs w:val="28"/>
        </w:rPr>
        <w:t>外延芯片厂房建筑自动喷水灭火系统的设计水量为</w:t>
      </w:r>
      <w:r>
        <w:rPr>
          <w:rFonts w:hint="eastAsia" w:ascii="宋体" w:hAnsi="宋体" w:eastAsia="宋体" w:cs="宋体"/>
          <w:color w:val="auto"/>
          <w:szCs w:val="28"/>
        </w:rPr>
        <w:t>30L/s</w:t>
      </w:r>
      <w:r>
        <w:rPr>
          <w:rFonts w:hint="eastAsia" w:ascii="宋体" w:hAnsi="宋体" w:eastAsia="宋体" w:cs="宋体"/>
          <w:color w:val="auto"/>
          <w:szCs w:val="28"/>
        </w:rPr>
        <w:t>，火灾延续时间按</w:t>
      </w:r>
      <w:r>
        <w:rPr>
          <w:rFonts w:hint="eastAsia" w:ascii="宋体" w:hAnsi="宋体" w:eastAsia="宋体" w:cs="宋体"/>
          <w:color w:val="auto"/>
          <w:szCs w:val="28"/>
        </w:rPr>
        <w:t>1.0</w:t>
      </w:r>
      <w:r>
        <w:rPr>
          <w:rFonts w:hint="eastAsia" w:ascii="宋体" w:hAnsi="宋体" w:eastAsia="宋体" w:cs="宋体"/>
          <w:color w:val="auto"/>
          <w:szCs w:val="28"/>
        </w:rPr>
        <w:t>小时，自喷用水量合计</w:t>
      </w:r>
      <w:r>
        <w:rPr>
          <w:rFonts w:hint="eastAsia" w:ascii="宋体" w:hAnsi="宋体" w:eastAsia="宋体" w:cs="宋体"/>
          <w:color w:val="auto"/>
          <w:szCs w:val="28"/>
        </w:rPr>
        <w:t>108m³</w:t>
      </w:r>
      <w:r>
        <w:rPr>
          <w:rFonts w:hint="eastAsia" w:ascii="宋体" w:hAnsi="宋体" w:eastAsia="宋体" w:cs="宋体"/>
          <w:color w:val="auto"/>
          <w:szCs w:val="28"/>
        </w:rPr>
        <w:t>。全厂占地面积</w:t>
      </w:r>
      <w:r>
        <w:rPr>
          <w:rFonts w:hint="eastAsia" w:ascii="宋体" w:hAnsi="宋体" w:eastAsia="宋体" w:cs="宋体"/>
          <w:color w:val="auto"/>
          <w:szCs w:val="28"/>
        </w:rPr>
        <w:t>≤100</w:t>
      </w:r>
      <w:r>
        <w:rPr>
          <w:rFonts w:hint="eastAsia" w:ascii="宋体" w:hAnsi="宋体" w:eastAsia="宋体" w:cs="宋体"/>
          <w:color w:val="auto"/>
          <w:szCs w:val="28"/>
        </w:rPr>
        <w:t>公顷，同一时间内的火灾次数按生活区和生产区的室内消火栓及自喷加压及消防水池统一设置，均设置于</w:t>
      </w:r>
      <w:r>
        <w:rPr>
          <w:rFonts w:hint="eastAsia" w:ascii="宋体" w:hAnsi="宋体" w:eastAsia="宋体" w:cs="宋体"/>
          <w:color w:val="auto"/>
          <w:szCs w:val="28"/>
        </w:rPr>
        <w:t>102</w:t>
      </w:r>
      <w:r>
        <w:rPr>
          <w:rFonts w:hint="eastAsia" w:ascii="宋体" w:hAnsi="宋体" w:eastAsia="宋体" w:cs="宋体"/>
          <w:color w:val="auto"/>
          <w:szCs w:val="28"/>
        </w:rPr>
        <w:t>号建筑地下室。</w:t>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w:t>
      </w:r>
      <w:r>
        <w:rPr>
          <w:rFonts w:hint="eastAsia" w:ascii="宋体" w:hAnsi="宋体" w:eastAsia="宋体" w:cs="宋体"/>
          <w:color w:val="auto"/>
          <w:szCs w:val="28"/>
        </w:rPr>
        <w:t>1</w:t>
      </w:r>
      <w:r>
        <w:rPr>
          <w:rFonts w:hint="eastAsia" w:ascii="宋体" w:hAnsi="宋体" w:eastAsia="宋体" w:cs="宋体"/>
          <w:color w:val="auto"/>
          <w:szCs w:val="28"/>
        </w:rPr>
        <w:t>）室内外消火栓系统</w:t>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消火栓给水采用临时高压系统，由消防蓄水池（与自动喷水灭火系统合用）、电动机驱动消火栓主泵、</w:t>
      </w:r>
      <w:r>
        <w:rPr>
          <w:rFonts w:hint="eastAsia" w:ascii="宋体" w:hAnsi="宋体" w:eastAsia="宋体" w:cs="宋体"/>
          <w:color w:val="auto"/>
          <w:szCs w:val="28"/>
        </w:rPr>
        <w:t>增压稳压设备（设置于消防水泵房）、</w:t>
      </w:r>
      <w:r>
        <w:rPr>
          <w:rFonts w:hint="eastAsia" w:ascii="宋体" w:hAnsi="宋体" w:eastAsia="宋体" w:cs="宋体"/>
          <w:color w:val="auto"/>
          <w:szCs w:val="28"/>
        </w:rPr>
        <w:t>高位消防水箱（生活区最高建筑物屋顶，有效容积</w:t>
      </w:r>
      <w:r>
        <w:rPr>
          <w:rFonts w:hint="eastAsia" w:ascii="宋体" w:hAnsi="宋体" w:eastAsia="宋体" w:cs="宋体"/>
          <w:color w:val="auto"/>
          <w:szCs w:val="28"/>
        </w:rPr>
        <w:t>36</w:t>
      </w:r>
      <w:r>
        <w:rPr>
          <w:rFonts w:hint="eastAsia" w:ascii="宋体" w:hAnsi="宋体" w:eastAsia="宋体" w:cs="宋体"/>
          <w:color w:val="auto"/>
          <w:szCs w:val="28"/>
        </w:rPr>
        <w:t>立方）、消火栓管网和室内外消火栓组成。消防蓄水池采用地上式钢筋混凝土水池，消防储水有效容积</w:t>
      </w:r>
      <w:r>
        <w:rPr>
          <w:rFonts w:hint="eastAsia" w:ascii="宋体" w:hAnsi="宋体" w:eastAsia="宋体" w:cs="宋体"/>
          <w:color w:val="auto"/>
          <w:szCs w:val="28"/>
        </w:rPr>
        <w:t>1</w:t>
      </w:r>
      <w:r>
        <w:rPr>
          <w:rFonts w:hint="eastAsia" w:ascii="宋体" w:hAnsi="宋体" w:eastAsia="宋体" w:cs="宋体"/>
          <w:color w:val="auto"/>
          <w:szCs w:val="28"/>
        </w:rPr>
        <w:t>2</w:t>
      </w:r>
      <w:r>
        <w:rPr>
          <w:rFonts w:hint="eastAsia" w:ascii="宋体" w:hAnsi="宋体" w:eastAsia="宋体" w:cs="宋体"/>
          <w:color w:val="auto"/>
          <w:szCs w:val="28"/>
        </w:rPr>
        <w:t>00m</w:t>
      </w:r>
      <w:r>
        <w:rPr>
          <w:rFonts w:hint="eastAsia" w:ascii="宋体" w:hAnsi="宋体" w:eastAsia="宋体" w:cs="宋体"/>
          <w:color w:val="auto"/>
          <w:szCs w:val="28"/>
          <w:vertAlign w:val="superscript"/>
        </w:rPr>
        <w:t>3</w:t>
      </w:r>
      <w:r>
        <w:rPr>
          <w:rFonts w:hint="eastAsia" w:ascii="宋体" w:hAnsi="宋体" w:eastAsia="宋体" w:cs="宋体"/>
          <w:color w:val="auto"/>
          <w:szCs w:val="28"/>
        </w:rPr>
        <w:t>，消火栓泵采用消防专用泵，均为自灌式吸水，设备均设于</w:t>
      </w:r>
      <w:r>
        <w:rPr>
          <w:rFonts w:hint="eastAsia" w:ascii="宋体" w:hAnsi="宋体" w:eastAsia="宋体" w:cs="宋体"/>
          <w:color w:val="auto"/>
          <w:szCs w:val="28"/>
        </w:rPr>
        <w:t>10</w:t>
      </w:r>
      <w:r>
        <w:rPr>
          <w:rFonts w:hint="eastAsia" w:ascii="宋体" w:hAnsi="宋体" w:eastAsia="宋体" w:cs="宋体"/>
          <w:color w:val="auto"/>
          <w:szCs w:val="28"/>
        </w:rPr>
        <w:t>2</w:t>
      </w:r>
      <w:r>
        <w:rPr>
          <w:rFonts w:hint="eastAsia" w:ascii="宋体" w:hAnsi="宋体" w:eastAsia="宋体" w:cs="宋体"/>
          <w:color w:val="auto"/>
          <w:szCs w:val="28"/>
        </w:rPr>
        <w:t>号建筑（动力</w:t>
      </w:r>
      <w:r>
        <w:rPr>
          <w:rFonts w:hint="eastAsia" w:ascii="宋体" w:hAnsi="宋体" w:eastAsia="宋体" w:cs="宋体"/>
          <w:color w:val="auto"/>
          <w:szCs w:val="28"/>
        </w:rPr>
        <w:t>站</w:t>
      </w:r>
      <w:r>
        <w:rPr>
          <w:rFonts w:hint="eastAsia" w:ascii="宋体" w:hAnsi="宋体" w:eastAsia="宋体" w:cs="宋体"/>
          <w:color w:val="auto"/>
          <w:szCs w:val="28"/>
        </w:rPr>
        <w:t>）内。消火栓泵选用卧式单级电动消防离心泵</w:t>
      </w:r>
      <w:r>
        <w:rPr>
          <w:rFonts w:hint="eastAsia" w:ascii="宋体" w:hAnsi="宋体" w:eastAsia="宋体" w:cs="宋体"/>
          <w:color w:val="auto"/>
          <w:szCs w:val="28"/>
        </w:rPr>
        <w:t>，</w:t>
      </w:r>
      <w:r>
        <w:rPr>
          <w:rFonts w:hint="eastAsia" w:ascii="宋体" w:hAnsi="宋体" w:eastAsia="宋体" w:cs="宋体"/>
          <w:color w:val="auto"/>
          <w:szCs w:val="28"/>
        </w:rPr>
        <w:t>共</w:t>
      </w:r>
      <w:r>
        <w:rPr>
          <w:rFonts w:hint="eastAsia" w:ascii="宋体" w:hAnsi="宋体" w:eastAsia="宋体" w:cs="宋体"/>
          <w:color w:val="auto"/>
          <w:szCs w:val="28"/>
        </w:rPr>
        <w:t>2</w:t>
      </w:r>
      <w:r>
        <w:rPr>
          <w:rFonts w:hint="eastAsia" w:ascii="宋体" w:hAnsi="宋体" w:eastAsia="宋体" w:cs="宋体"/>
          <w:color w:val="auto"/>
          <w:szCs w:val="28"/>
        </w:rPr>
        <w:t>套，</w:t>
      </w:r>
      <w:r>
        <w:rPr>
          <w:rFonts w:hint="eastAsia" w:ascii="宋体" w:hAnsi="宋体" w:eastAsia="宋体" w:cs="宋体"/>
          <w:color w:val="auto"/>
          <w:szCs w:val="28"/>
        </w:rPr>
        <w:t>流量</w:t>
      </w:r>
      <w:r>
        <w:rPr>
          <w:rFonts w:hint="eastAsia" w:ascii="宋体" w:hAnsi="宋体" w:eastAsia="宋体" w:cs="宋体"/>
          <w:color w:val="auto"/>
          <w:szCs w:val="28"/>
        </w:rPr>
        <w:t>Q=70L/s</w:t>
      </w:r>
      <w:r>
        <w:rPr>
          <w:rFonts w:hint="eastAsia" w:ascii="宋体" w:hAnsi="宋体" w:eastAsia="宋体" w:cs="宋体"/>
          <w:color w:val="auto"/>
          <w:szCs w:val="28"/>
        </w:rPr>
        <w:t>， 扬程</w:t>
      </w:r>
      <w:r>
        <w:rPr>
          <w:rFonts w:hint="eastAsia" w:ascii="宋体" w:hAnsi="宋体" w:eastAsia="宋体" w:cs="宋体"/>
          <w:color w:val="auto"/>
          <w:szCs w:val="28"/>
        </w:rPr>
        <w:t>H=100m</w:t>
      </w:r>
      <w:r>
        <w:rPr>
          <w:rFonts w:hint="eastAsia" w:ascii="宋体" w:hAnsi="宋体" w:eastAsia="宋体" w:cs="宋体"/>
          <w:color w:val="auto"/>
          <w:szCs w:val="28"/>
        </w:rPr>
        <w:t>，</w:t>
      </w:r>
      <w:r>
        <w:rPr>
          <w:rFonts w:hint="eastAsia" w:ascii="宋体" w:hAnsi="宋体" w:eastAsia="宋体" w:cs="宋体"/>
          <w:color w:val="auto"/>
          <w:szCs w:val="28"/>
        </w:rPr>
        <w:t>50Hz</w:t>
      </w:r>
      <w:r>
        <w:rPr>
          <w:rFonts w:hint="eastAsia" w:ascii="宋体" w:hAnsi="宋体" w:eastAsia="宋体" w:cs="宋体"/>
          <w:color w:val="auto"/>
          <w:szCs w:val="28"/>
        </w:rPr>
        <w:t xml:space="preserve">， 功率 </w:t>
      </w:r>
      <w:r>
        <w:rPr>
          <w:rFonts w:hint="eastAsia" w:ascii="宋体" w:hAnsi="宋体" w:eastAsia="宋体" w:cs="宋体"/>
          <w:color w:val="auto"/>
          <w:szCs w:val="28"/>
        </w:rPr>
        <w:t>P=132KW</w:t>
      </w:r>
      <w:r>
        <w:rPr>
          <w:rFonts w:hint="eastAsia" w:ascii="宋体" w:hAnsi="宋体" w:eastAsia="宋体" w:cs="宋体"/>
          <w:color w:val="auto"/>
          <w:szCs w:val="28"/>
        </w:rPr>
        <w:t>。</w:t>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室内外消火栓管道</w:t>
      </w:r>
      <w:r>
        <w:rPr>
          <w:rFonts w:hint="eastAsia" w:ascii="宋体" w:hAnsi="宋体" w:eastAsia="宋体" w:cs="宋体"/>
          <w:color w:val="auto"/>
          <w:szCs w:val="28"/>
        </w:rPr>
        <w:t>平时室内管网的压力由消防水箱保证，消火栓泵可以就地启停，也可在消防控制中心手动启动，同时</w:t>
      </w:r>
      <w:r>
        <w:rPr>
          <w:rFonts w:hint="eastAsia" w:ascii="宋体" w:hAnsi="宋体" w:eastAsia="宋体" w:cs="宋体"/>
          <w:color w:val="auto"/>
          <w:szCs w:val="28"/>
        </w:rPr>
        <w:t>高位水箱出口流量开关、消火栓泵出口压力开关可自动</w:t>
      </w:r>
      <w:r>
        <w:rPr>
          <w:rFonts w:hint="eastAsia" w:ascii="宋体" w:hAnsi="宋体" w:eastAsia="宋体" w:cs="宋体"/>
          <w:color w:val="auto"/>
          <w:szCs w:val="28"/>
        </w:rPr>
        <w:t>启动</w:t>
      </w:r>
      <w:r>
        <w:rPr>
          <w:rFonts w:hint="eastAsia" w:ascii="宋体" w:hAnsi="宋体" w:eastAsia="宋体" w:cs="宋体"/>
          <w:color w:val="auto"/>
          <w:szCs w:val="28"/>
        </w:rPr>
        <w:t>消火栓泵</w:t>
      </w:r>
      <w:r>
        <w:rPr>
          <w:rFonts w:hint="eastAsia" w:ascii="宋体" w:hAnsi="宋体" w:eastAsia="宋体" w:cs="宋体"/>
          <w:color w:val="auto"/>
          <w:szCs w:val="28"/>
        </w:rPr>
        <w:t>，消防时主泵启动前的室内消防用水由消防水箱保证。</w:t>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消火栓泵组两路（</w:t>
      </w:r>
      <w:r>
        <w:rPr>
          <w:rFonts w:hint="eastAsia" w:ascii="宋体" w:hAnsi="宋体" w:eastAsia="宋体" w:cs="宋体"/>
          <w:color w:val="auto"/>
          <w:szCs w:val="28"/>
        </w:rPr>
        <w:t>DN200</w:t>
      </w:r>
      <w:r>
        <w:rPr>
          <w:rFonts w:hint="eastAsia" w:ascii="宋体" w:hAnsi="宋体" w:eastAsia="宋体" w:cs="宋体"/>
          <w:color w:val="auto"/>
          <w:szCs w:val="28"/>
        </w:rPr>
        <w:t>）出水至室外环状消防管路（管径</w:t>
      </w:r>
      <w:r>
        <w:rPr>
          <w:rFonts w:hint="eastAsia" w:ascii="宋体" w:hAnsi="宋体" w:eastAsia="宋体" w:cs="宋体"/>
          <w:color w:val="auto"/>
          <w:szCs w:val="28"/>
        </w:rPr>
        <w:t>DN200</w:t>
      </w:r>
      <w:r>
        <w:rPr>
          <w:rFonts w:hint="eastAsia" w:ascii="宋体" w:hAnsi="宋体" w:eastAsia="宋体" w:cs="宋体"/>
          <w:color w:val="auto"/>
          <w:szCs w:val="28"/>
        </w:rPr>
        <w:t>），环网上设室外消火栓。设置室内消火栓的各建筑物均从该环状管路上引两路经减压后接至其室内环状消防管路。室内消火栓按两股充实水柱（</w:t>
      </w:r>
      <w:r>
        <w:rPr>
          <w:rFonts w:hint="eastAsia" w:ascii="宋体" w:hAnsi="宋体" w:eastAsia="宋体" w:cs="宋体"/>
          <w:color w:val="auto"/>
          <w:szCs w:val="28"/>
        </w:rPr>
        <w:t>1</w:t>
      </w:r>
      <w:r>
        <w:rPr>
          <w:rFonts w:hint="eastAsia" w:ascii="宋体" w:hAnsi="宋体" w:eastAsia="宋体" w:cs="宋体"/>
          <w:color w:val="auto"/>
          <w:szCs w:val="28"/>
        </w:rPr>
        <w:t>3</w:t>
      </w:r>
      <w:r>
        <w:rPr>
          <w:rFonts w:hint="eastAsia" w:ascii="宋体" w:hAnsi="宋体" w:eastAsia="宋体" w:cs="宋体"/>
          <w:color w:val="auto"/>
          <w:szCs w:val="28"/>
        </w:rPr>
        <w:t>米长）同时到达任一部位设置，每个消火栓箱内设直接启动消火栓泵的按钮。</w:t>
      </w:r>
      <w:r>
        <w:rPr>
          <w:rFonts w:hint="eastAsia" w:ascii="宋体" w:hAnsi="宋体" w:eastAsia="宋体" w:cs="宋体"/>
          <w:color w:val="auto"/>
          <w:szCs w:val="28"/>
        </w:rPr>
        <w:t>根据规范要求</w:t>
      </w:r>
      <w:r>
        <w:rPr>
          <w:rFonts w:hint="eastAsia" w:ascii="宋体" w:hAnsi="宋体" w:eastAsia="宋体" w:cs="宋体"/>
          <w:color w:val="auto"/>
          <w:szCs w:val="28"/>
        </w:rPr>
        <w:t>101</w:t>
      </w:r>
      <w:r>
        <w:rPr>
          <w:rFonts w:hint="eastAsia" w:ascii="宋体" w:hAnsi="宋体" w:eastAsia="宋体" w:cs="宋体"/>
          <w:color w:val="auto"/>
          <w:szCs w:val="28"/>
        </w:rPr>
        <w:t>、</w:t>
      </w:r>
      <w:r>
        <w:rPr>
          <w:rFonts w:hint="eastAsia" w:ascii="宋体" w:hAnsi="宋体" w:eastAsia="宋体" w:cs="宋体"/>
          <w:color w:val="auto"/>
          <w:szCs w:val="28"/>
        </w:rPr>
        <w:t>103</w:t>
      </w:r>
      <w:r>
        <w:rPr>
          <w:rFonts w:hint="eastAsia" w:ascii="宋体" w:hAnsi="宋体" w:eastAsia="宋体" w:cs="宋体"/>
          <w:color w:val="auto"/>
          <w:szCs w:val="28"/>
        </w:rPr>
        <w:t>号建筑设置消防水泵接合器。</w:t>
      </w:r>
    </w:p>
    <w:p>
      <w:pPr>
        <w:keepNext/>
        <w:pageBreakBefore w:val="0"/>
        <w:widowControl w:val="0"/>
        <w:kinsoku/>
        <w:wordWrap/>
        <w:overflowPunct/>
        <w:topLinePunct w:val="0"/>
        <w:bidi w:val="0"/>
        <w:adjustRightInd/>
        <w:snapToGrid/>
        <w:spacing w:before="156" w:beforeLines="50"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2</w:t>
      </w:r>
      <w:r>
        <w:rPr>
          <w:rFonts w:hint="eastAsia" w:ascii="宋体" w:hAnsi="宋体" w:eastAsia="宋体" w:cs="宋体"/>
          <w:color w:val="auto"/>
          <w:szCs w:val="28"/>
        </w:rPr>
        <w:t>）自动喷水灭火系统</w:t>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101</w:t>
      </w:r>
      <w:r>
        <w:rPr>
          <w:rFonts w:hint="eastAsia" w:ascii="宋体" w:hAnsi="宋体" w:eastAsia="宋体" w:cs="宋体"/>
          <w:color w:val="auto"/>
          <w:szCs w:val="28"/>
        </w:rPr>
        <w:t>号外延芯片厂房生产区</w:t>
      </w:r>
      <w:r>
        <w:rPr>
          <w:rFonts w:hint="eastAsia" w:ascii="宋体" w:hAnsi="宋体" w:eastAsia="宋体" w:cs="宋体"/>
          <w:color w:val="auto"/>
          <w:szCs w:val="28"/>
        </w:rPr>
        <w:t>采用预作用式临时高压系统</w:t>
      </w:r>
      <w:r>
        <w:rPr>
          <w:rFonts w:hint="eastAsia" w:ascii="宋体" w:hAnsi="宋体" w:eastAsia="宋体" w:cs="宋体"/>
          <w:color w:val="auto"/>
          <w:szCs w:val="28"/>
        </w:rPr>
        <w:t>，</w:t>
      </w:r>
      <w:r>
        <w:rPr>
          <w:rFonts w:hint="eastAsia" w:ascii="宋体" w:hAnsi="宋体" w:eastAsia="宋体" w:cs="宋体"/>
          <w:color w:val="auto"/>
          <w:szCs w:val="28"/>
        </w:rPr>
        <w:t>由消防蓄水池（与消火栓系统合用，自动喷水灭火系统储水量为</w:t>
      </w:r>
      <w:r>
        <w:rPr>
          <w:rFonts w:hint="eastAsia" w:ascii="宋体" w:hAnsi="宋体" w:eastAsia="宋体" w:cs="宋体"/>
          <w:color w:val="auto"/>
          <w:szCs w:val="28"/>
        </w:rPr>
        <w:t>1512</w:t>
      </w:r>
      <w:r>
        <w:rPr>
          <w:rFonts w:hint="eastAsia" w:ascii="宋体" w:hAnsi="宋体" w:eastAsia="宋体" w:cs="宋体"/>
          <w:color w:val="auto"/>
          <w:szCs w:val="28"/>
        </w:rPr>
        <w:t>m</w:t>
      </w:r>
      <w:r>
        <w:rPr>
          <w:rFonts w:hint="eastAsia" w:ascii="宋体" w:hAnsi="宋体" w:eastAsia="宋体" w:cs="宋体"/>
          <w:color w:val="auto"/>
          <w:szCs w:val="28"/>
          <w:vertAlign w:val="superscript"/>
        </w:rPr>
        <w:t>3</w:t>
      </w:r>
      <w:r>
        <w:rPr>
          <w:rFonts w:hint="eastAsia" w:ascii="宋体" w:hAnsi="宋体" w:eastAsia="宋体" w:cs="宋体"/>
          <w:color w:val="auto"/>
          <w:szCs w:val="28"/>
        </w:rPr>
        <w:t>）、自动喷水灭火系统加压电泵、</w:t>
      </w:r>
      <w:r>
        <w:rPr>
          <w:rFonts w:hint="eastAsia" w:ascii="宋体" w:hAnsi="宋体" w:eastAsia="宋体" w:cs="宋体"/>
          <w:color w:val="auto"/>
          <w:szCs w:val="28"/>
        </w:rPr>
        <w:t>增压稳压设备（设置于消防水泵房）、</w:t>
      </w:r>
      <w:r>
        <w:rPr>
          <w:rFonts w:hint="eastAsia" w:ascii="宋体" w:hAnsi="宋体" w:eastAsia="宋体" w:cs="宋体"/>
          <w:color w:val="auto"/>
          <w:szCs w:val="28"/>
        </w:rPr>
        <w:t>高位消防水箱（生活区最高建筑物屋顶，有效容积</w:t>
      </w:r>
      <w:r>
        <w:rPr>
          <w:rFonts w:hint="eastAsia" w:ascii="宋体" w:hAnsi="宋体" w:eastAsia="宋体" w:cs="宋体"/>
          <w:color w:val="auto"/>
          <w:szCs w:val="28"/>
        </w:rPr>
        <w:t>36</w:t>
      </w:r>
      <w:r>
        <w:rPr>
          <w:rFonts w:hint="eastAsia" w:ascii="宋体" w:hAnsi="宋体" w:eastAsia="宋体" w:cs="宋体"/>
          <w:color w:val="auto"/>
          <w:szCs w:val="28"/>
        </w:rPr>
        <w:t>立方）、室外水泵接合器、报警阀装置、空气维护装置、监视及报警装置、自动喷水灭火系统管网以及闭式喷头等组成。平时管网的压力与自动喷水灭火系统加压泵启动前消防用水的水量与水压均由高位消防水箱保证，自动喷水灭火系统加压泵的启动由报警阀附带的压力开关自动启动或消防控制中心手动控制，手动停泵。自动喷水灭火系统加压泵采用消防专用泵，消防泵均为自灌式吸水，设备均设于</w:t>
      </w:r>
      <w:r>
        <w:rPr>
          <w:rFonts w:hint="eastAsia" w:ascii="宋体" w:hAnsi="宋体" w:eastAsia="宋体" w:cs="宋体"/>
          <w:color w:val="auto"/>
          <w:szCs w:val="28"/>
        </w:rPr>
        <w:t>10</w:t>
      </w:r>
      <w:r>
        <w:rPr>
          <w:rFonts w:hint="eastAsia" w:ascii="宋体" w:hAnsi="宋体" w:eastAsia="宋体" w:cs="宋体"/>
          <w:color w:val="auto"/>
          <w:szCs w:val="28"/>
        </w:rPr>
        <w:t>2</w:t>
      </w:r>
      <w:r>
        <w:rPr>
          <w:rFonts w:hint="eastAsia" w:ascii="宋体" w:hAnsi="宋体" w:eastAsia="宋体" w:cs="宋体"/>
          <w:color w:val="auto"/>
          <w:szCs w:val="28"/>
        </w:rPr>
        <w:t>号建筑（动力</w:t>
      </w:r>
      <w:r>
        <w:rPr>
          <w:rFonts w:hint="eastAsia" w:ascii="宋体" w:hAnsi="宋体" w:eastAsia="宋体" w:cs="宋体"/>
          <w:color w:val="auto"/>
          <w:szCs w:val="28"/>
        </w:rPr>
        <w:t>站</w:t>
      </w:r>
      <w:r>
        <w:rPr>
          <w:rFonts w:hint="eastAsia" w:ascii="宋体" w:hAnsi="宋体" w:eastAsia="宋体" w:cs="宋体"/>
          <w:color w:val="auto"/>
          <w:szCs w:val="28"/>
        </w:rPr>
        <w:t>）内。自动喷水灭火系统加压泵选用卧式单级电动消防双吸泵</w:t>
      </w:r>
      <w:r>
        <w:rPr>
          <w:rFonts w:hint="eastAsia" w:ascii="宋体" w:hAnsi="宋体" w:eastAsia="宋体" w:cs="宋体"/>
          <w:color w:val="auto"/>
          <w:szCs w:val="28"/>
        </w:rPr>
        <w:t>，</w:t>
      </w:r>
      <w:r>
        <w:rPr>
          <w:rFonts w:hint="eastAsia" w:ascii="宋体" w:hAnsi="宋体" w:eastAsia="宋体" w:cs="宋体"/>
          <w:color w:val="auto"/>
          <w:szCs w:val="28"/>
        </w:rPr>
        <w:t>共</w:t>
      </w:r>
      <w:r>
        <w:rPr>
          <w:rFonts w:hint="eastAsia" w:ascii="宋体" w:hAnsi="宋体" w:eastAsia="宋体" w:cs="宋体"/>
          <w:color w:val="auto"/>
          <w:szCs w:val="28"/>
        </w:rPr>
        <w:t>2</w:t>
      </w:r>
      <w:r>
        <w:rPr>
          <w:rFonts w:hint="eastAsia" w:ascii="宋体" w:hAnsi="宋体" w:eastAsia="宋体" w:cs="宋体"/>
          <w:color w:val="auto"/>
          <w:szCs w:val="28"/>
        </w:rPr>
        <w:t>套，</w:t>
      </w:r>
      <w:r>
        <w:rPr>
          <w:rFonts w:hint="eastAsia" w:ascii="宋体" w:hAnsi="宋体" w:eastAsia="宋体" w:cs="宋体"/>
          <w:color w:val="auto"/>
          <w:szCs w:val="28"/>
        </w:rPr>
        <w:t>流量</w:t>
      </w:r>
      <w:r>
        <w:rPr>
          <w:rFonts w:hint="eastAsia" w:ascii="宋体" w:hAnsi="宋体" w:eastAsia="宋体" w:cs="宋体"/>
          <w:color w:val="auto"/>
          <w:szCs w:val="28"/>
        </w:rPr>
        <w:t>Q=60L/s</w:t>
      </w:r>
      <w:r>
        <w:rPr>
          <w:rFonts w:hint="eastAsia" w:ascii="宋体" w:hAnsi="宋体" w:eastAsia="宋体" w:cs="宋体"/>
          <w:color w:val="auto"/>
          <w:szCs w:val="28"/>
        </w:rPr>
        <w:t>，扬程</w:t>
      </w:r>
      <w:r>
        <w:rPr>
          <w:rFonts w:hint="eastAsia" w:ascii="宋体" w:hAnsi="宋体" w:eastAsia="宋体" w:cs="宋体"/>
          <w:color w:val="auto"/>
          <w:szCs w:val="28"/>
        </w:rPr>
        <w:t>H=90m</w:t>
      </w:r>
      <w:r>
        <w:rPr>
          <w:rFonts w:hint="eastAsia" w:ascii="宋体" w:hAnsi="宋体" w:eastAsia="宋体" w:cs="宋体"/>
          <w:color w:val="auto"/>
          <w:szCs w:val="28"/>
        </w:rPr>
        <w:t>，</w:t>
      </w:r>
      <w:r>
        <w:rPr>
          <w:rFonts w:hint="eastAsia" w:ascii="宋体" w:hAnsi="宋体" w:eastAsia="宋体" w:cs="宋体"/>
          <w:color w:val="auto"/>
          <w:szCs w:val="28"/>
        </w:rPr>
        <w:t>50Hz</w:t>
      </w:r>
      <w:r>
        <w:rPr>
          <w:rFonts w:hint="eastAsia" w:ascii="宋体" w:hAnsi="宋体" w:eastAsia="宋体" w:cs="宋体"/>
          <w:color w:val="auto"/>
          <w:szCs w:val="28"/>
        </w:rPr>
        <w:t>，</w:t>
      </w:r>
      <w:r>
        <w:rPr>
          <w:rFonts w:hint="eastAsia" w:ascii="宋体" w:hAnsi="宋体" w:eastAsia="宋体" w:cs="宋体"/>
          <w:color w:val="auto"/>
          <w:szCs w:val="28"/>
        </w:rPr>
        <w:t xml:space="preserve">功率 </w:t>
      </w:r>
      <w:r>
        <w:rPr>
          <w:rFonts w:hint="eastAsia" w:ascii="宋体" w:hAnsi="宋体" w:eastAsia="宋体" w:cs="宋体"/>
          <w:color w:val="auto"/>
          <w:szCs w:val="28"/>
        </w:rPr>
        <w:t>P=110KW</w:t>
      </w:r>
      <w:r>
        <w:rPr>
          <w:rFonts w:hint="eastAsia" w:ascii="宋体" w:hAnsi="宋体" w:eastAsia="宋体" w:cs="宋体"/>
          <w:color w:val="auto"/>
          <w:szCs w:val="28"/>
        </w:rPr>
        <w:t>。</w:t>
      </w:r>
    </w:p>
    <w:p>
      <w:pPr>
        <w:pageBreakBefore w:val="0"/>
        <w:widowControl w:val="0"/>
        <w:kinsoku/>
        <w:wordWrap/>
        <w:overflowPunct/>
        <w:topLinePunct w:val="0"/>
        <w:bidi w:val="0"/>
        <w:adjustRightInd/>
        <w:snapToGrid/>
        <w:spacing w:before="156" w:beforeLines="50"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lang w:val="en-US" w:eastAsia="zh-CN"/>
        </w:rPr>
        <w:t>3</w:t>
      </w:r>
      <w:r>
        <w:rPr>
          <w:rFonts w:hint="eastAsia" w:ascii="宋体" w:hAnsi="宋体" w:eastAsia="宋体" w:cs="宋体"/>
          <w:color w:val="auto"/>
          <w:szCs w:val="28"/>
        </w:rPr>
        <w:t>）灭火器的设置</w:t>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外延芯片厂房</w:t>
      </w:r>
      <w:r>
        <w:rPr>
          <w:rFonts w:hint="eastAsia" w:ascii="宋体" w:hAnsi="宋体" w:eastAsia="宋体" w:cs="宋体"/>
          <w:color w:val="auto"/>
          <w:szCs w:val="28"/>
        </w:rPr>
        <w:t>屋面氨水回收装置间设置直储压式手提式磷酸铵盐干粉灭火器</w:t>
      </w:r>
      <w:r>
        <w:rPr>
          <w:rFonts w:hint="eastAsia" w:ascii="宋体" w:hAnsi="宋体" w:eastAsia="宋体" w:cs="宋体"/>
          <w:color w:val="auto"/>
          <w:szCs w:val="28"/>
        </w:rPr>
        <w:t>MFZ/ABC4</w:t>
      </w:r>
      <w:r>
        <w:rPr>
          <w:rFonts w:hint="eastAsia" w:ascii="宋体" w:hAnsi="宋体" w:eastAsia="宋体" w:cs="宋体"/>
          <w:color w:val="auto"/>
          <w:szCs w:val="28"/>
        </w:rPr>
        <w:t>灭火器，放置在灭火器箱内。</w:t>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115</w:t>
      </w:r>
      <w:r>
        <w:rPr>
          <w:rFonts w:hint="eastAsia" w:ascii="宋体" w:hAnsi="宋体" w:eastAsia="宋体" w:cs="宋体"/>
          <w:color w:val="auto"/>
          <w:szCs w:val="28"/>
        </w:rPr>
        <w:t>废气车间氨水储罐按照按照</w:t>
      </w:r>
      <w:r>
        <w:rPr>
          <w:rFonts w:hint="eastAsia" w:ascii="宋体" w:hAnsi="宋体" w:eastAsia="宋体" w:cs="宋体"/>
          <w:color w:val="auto"/>
          <w:szCs w:val="28"/>
        </w:rPr>
        <w:t>C</w:t>
      </w:r>
      <w:r>
        <w:rPr>
          <w:rFonts w:hint="eastAsia" w:ascii="宋体" w:hAnsi="宋体" w:eastAsia="宋体" w:cs="宋体"/>
          <w:color w:val="auto"/>
          <w:szCs w:val="28"/>
        </w:rPr>
        <w:t>类火灾，严重危险级配置手提式磷酸铵盐干粉灭火器，最小配置灭火级别</w:t>
      </w:r>
      <w:r>
        <w:rPr>
          <w:rFonts w:hint="eastAsia" w:ascii="宋体" w:hAnsi="宋体" w:eastAsia="宋体" w:cs="宋体"/>
          <w:color w:val="auto"/>
          <w:szCs w:val="28"/>
        </w:rPr>
        <w:t>89B</w:t>
      </w:r>
      <w:r>
        <w:rPr>
          <w:rFonts w:hint="eastAsia" w:ascii="宋体" w:hAnsi="宋体" w:eastAsia="宋体" w:cs="宋体"/>
          <w:color w:val="auto"/>
          <w:szCs w:val="28"/>
        </w:rPr>
        <w:t>，单位灭火级别的最大保护面积</w:t>
      </w:r>
      <w:r>
        <w:rPr>
          <w:rFonts w:hint="eastAsia" w:ascii="宋体" w:hAnsi="宋体" w:eastAsia="宋体" w:cs="宋体"/>
          <w:color w:val="auto"/>
          <w:szCs w:val="28"/>
        </w:rPr>
        <w:t>0.5m</w:t>
      </w:r>
      <w:r>
        <w:rPr>
          <w:rFonts w:hint="eastAsia" w:ascii="宋体" w:hAnsi="宋体" w:eastAsia="宋体" w:cs="宋体"/>
          <w:color w:val="auto"/>
          <w:szCs w:val="28"/>
          <w:vertAlign w:val="superscript"/>
        </w:rPr>
        <w:t>2</w:t>
      </w:r>
      <w:r>
        <w:rPr>
          <w:rFonts w:hint="eastAsia" w:ascii="宋体" w:hAnsi="宋体" w:eastAsia="宋体" w:cs="宋体"/>
          <w:color w:val="auto"/>
          <w:szCs w:val="28"/>
        </w:rPr>
        <w:t>/B</w:t>
      </w:r>
      <w:r>
        <w:rPr>
          <w:rFonts w:hint="eastAsia" w:ascii="宋体" w:hAnsi="宋体" w:eastAsia="宋体" w:cs="宋体"/>
          <w:color w:val="auto"/>
          <w:szCs w:val="28"/>
        </w:rPr>
        <w:t>，最大保护距离</w:t>
      </w:r>
      <w:r>
        <w:rPr>
          <w:rFonts w:hint="eastAsia" w:ascii="宋体" w:hAnsi="宋体" w:eastAsia="宋体" w:cs="宋体"/>
          <w:color w:val="auto"/>
          <w:szCs w:val="28"/>
        </w:rPr>
        <w:t>9m</w:t>
      </w:r>
      <w:r>
        <w:rPr>
          <w:rFonts w:hint="eastAsia" w:ascii="宋体" w:hAnsi="宋体" w:eastAsia="宋体" w:cs="宋体"/>
          <w:color w:val="auto"/>
          <w:szCs w:val="28"/>
        </w:rPr>
        <w:t>，手提式干粉灭火器选用</w:t>
      </w:r>
      <w:r>
        <w:rPr>
          <w:rFonts w:hint="eastAsia" w:ascii="宋体" w:hAnsi="宋体" w:eastAsia="宋体" w:cs="宋体"/>
          <w:color w:val="auto"/>
          <w:szCs w:val="28"/>
        </w:rPr>
        <w:t>MF/ABC5</w:t>
      </w:r>
      <w:r>
        <w:rPr>
          <w:rFonts w:hint="eastAsia" w:ascii="宋体" w:hAnsi="宋体" w:eastAsia="宋体" w:cs="宋体"/>
          <w:color w:val="auto"/>
          <w:szCs w:val="28"/>
        </w:rPr>
        <w:t>（</w:t>
      </w:r>
      <w:r>
        <w:rPr>
          <w:rFonts w:hint="eastAsia" w:ascii="宋体" w:hAnsi="宋体" w:eastAsia="宋体" w:cs="宋体"/>
          <w:color w:val="auto"/>
          <w:szCs w:val="28"/>
        </w:rPr>
        <w:t>5Kg</w:t>
      </w:r>
      <w:r>
        <w:rPr>
          <w:rFonts w:hint="eastAsia" w:ascii="宋体" w:hAnsi="宋体" w:eastAsia="宋体" w:cs="宋体"/>
          <w:color w:val="auto"/>
          <w:szCs w:val="28"/>
        </w:rPr>
        <w:t>）。</w:t>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该项目消防验收经南昌高新区管委会建设局验收合格，出具了建设工程消防验收意见书（洪高新城建消防验字第2020011号）。</w:t>
      </w:r>
    </w:p>
    <w:p>
      <w:pPr>
        <w:pStyle w:val="8"/>
        <w:pageBreakBefore w:val="0"/>
        <w:widowControl w:val="0"/>
        <w:kinsoku/>
        <w:wordWrap/>
        <w:overflowPunct/>
        <w:topLinePunct w:val="0"/>
        <w:bidi w:val="0"/>
        <w:adjustRightInd/>
        <w:snapToGrid/>
        <w:spacing w:line="600" w:lineRule="exact"/>
        <w:jc w:val="both"/>
        <w:textAlignment w:val="auto"/>
        <w:rPr>
          <w:rFonts w:hint="eastAsia" w:ascii="宋体" w:hAnsi="宋体" w:eastAsia="宋体" w:cs="宋体"/>
          <w:b w:val="0"/>
          <w:color w:val="auto"/>
          <w:szCs w:val="28"/>
        </w:rPr>
      </w:pPr>
      <w:bookmarkStart w:id="123" w:name="_Toc204429134"/>
      <w:r>
        <w:rPr>
          <w:rFonts w:hint="eastAsia" w:ascii="宋体" w:hAnsi="宋体" w:eastAsia="宋体" w:cs="宋体"/>
          <w:b w:val="0"/>
          <w:color w:val="auto"/>
          <w:szCs w:val="28"/>
        </w:rPr>
        <w:t>2.6.2主要安全设施</w:t>
      </w:r>
      <w:bookmarkEnd w:id="123"/>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场所的电力及照明设备按照《爆炸危险环境电力装置设计规范》采用用防爆型电气设备（如电机防爆等级为GbBT4,电箱为GbBT6）,照明线路采用导线或电缆穿镀锌钢管保护明敷设。</w:t>
      </w:r>
    </w:p>
    <w:p>
      <w:pPr>
        <w:pageBreakBefore w:val="0"/>
        <w:widowControl w:val="0"/>
        <w:kinsoku/>
        <w:wordWrap/>
        <w:overflowPunct/>
        <w:topLinePunct w:val="0"/>
        <w:bidi w:val="0"/>
        <w:adjustRightInd/>
        <w:snapToGrid/>
        <w:spacing w:line="600" w:lineRule="exact"/>
        <w:ind w:firstLine="420" w:firstLineChars="150"/>
        <w:textAlignment w:val="auto"/>
        <w:rPr>
          <w:rFonts w:hint="eastAsia" w:ascii="宋体" w:hAnsi="宋体" w:eastAsia="宋体" w:cs="宋体"/>
          <w:color w:val="auto"/>
          <w:szCs w:val="28"/>
        </w:rPr>
      </w:pPr>
      <w:r>
        <w:rPr>
          <w:rFonts w:hint="eastAsia" w:ascii="宋体" w:hAnsi="宋体" w:eastAsia="宋体" w:cs="宋体"/>
          <w:color w:val="auto"/>
          <w:szCs w:val="28"/>
        </w:rPr>
        <w:t>装置均设有接地装置，且连接点不少于两点，接地电阻不大于1欧姆。所有金属管道、法兰等设有防静电跨接并与接地装置相连。</w:t>
      </w:r>
    </w:p>
    <w:p>
      <w:pPr>
        <w:pageBreakBefore w:val="0"/>
        <w:widowControl w:val="0"/>
        <w:kinsoku/>
        <w:wordWrap/>
        <w:overflowPunct/>
        <w:topLinePunct w:val="0"/>
        <w:bidi w:val="0"/>
        <w:adjustRightInd/>
        <w:snapToGrid/>
        <w:spacing w:line="600" w:lineRule="exact"/>
        <w:ind w:firstLine="420" w:firstLineChars="150"/>
        <w:textAlignment w:val="auto"/>
        <w:rPr>
          <w:rFonts w:hint="eastAsia" w:ascii="宋体" w:hAnsi="宋体" w:eastAsia="宋体" w:cs="宋体"/>
          <w:color w:val="auto"/>
          <w:szCs w:val="28"/>
        </w:rPr>
      </w:pPr>
      <w:r>
        <w:rPr>
          <w:rFonts w:hint="eastAsia" w:ascii="宋体" w:hAnsi="宋体" w:eastAsia="宋体" w:cs="宋体"/>
          <w:color w:val="auto"/>
          <w:szCs w:val="28"/>
        </w:rPr>
        <w:t>站内设置了消防水池和消防水泵，设置有宽6m的消防车道，消防道路外沿敷设了环形DN</w:t>
      </w:r>
      <w:r>
        <w:rPr>
          <w:rFonts w:hint="eastAsia" w:ascii="宋体" w:hAnsi="宋体" w:eastAsia="宋体" w:cs="宋体"/>
          <w:color w:val="auto"/>
          <w:szCs w:val="28"/>
          <w:lang w:val="en-US" w:eastAsia="zh-CN"/>
        </w:rPr>
        <w:t>20</w:t>
      </w:r>
      <w:r>
        <w:rPr>
          <w:rFonts w:hint="eastAsia" w:ascii="宋体" w:hAnsi="宋体" w:eastAsia="宋体" w:cs="宋体"/>
          <w:color w:val="auto"/>
          <w:szCs w:val="28"/>
        </w:rPr>
        <w:t>0消防管道。</w:t>
      </w:r>
    </w:p>
    <w:p>
      <w:pPr>
        <w:pStyle w:val="7"/>
        <w:pageBreakBefore w:val="0"/>
        <w:widowControl w:val="0"/>
        <w:kinsoku/>
        <w:wordWrap/>
        <w:overflowPunct/>
        <w:topLinePunct w:val="0"/>
        <w:bidi w:val="0"/>
        <w:adjustRightInd/>
        <w:snapToGrid/>
        <w:spacing w:line="600" w:lineRule="exact"/>
        <w:textAlignment w:val="auto"/>
        <w:rPr>
          <w:rFonts w:hint="eastAsia" w:ascii="宋体" w:hAnsi="宋体" w:eastAsia="宋体" w:cs="宋体"/>
          <w:color w:val="auto"/>
          <w:sz w:val="30"/>
          <w:szCs w:val="30"/>
        </w:rPr>
      </w:pPr>
      <w:bookmarkStart w:id="124" w:name="_Toc23391"/>
      <w:bookmarkStart w:id="125" w:name="_Toc204429137"/>
      <w:bookmarkStart w:id="126" w:name="_Toc3571"/>
      <w:bookmarkStart w:id="127" w:name="_Toc525109143"/>
      <w:bookmarkStart w:id="128" w:name="_Toc4576"/>
      <w:r>
        <w:rPr>
          <w:rFonts w:hint="eastAsia" w:ascii="宋体" w:hAnsi="宋体" w:eastAsia="宋体" w:cs="宋体"/>
          <w:color w:val="auto"/>
          <w:sz w:val="30"/>
          <w:szCs w:val="30"/>
        </w:rPr>
        <w:t>2.7安全管理</w:t>
      </w:r>
      <w:bookmarkEnd w:id="124"/>
      <w:bookmarkEnd w:id="125"/>
      <w:bookmarkEnd w:id="126"/>
      <w:bookmarkEnd w:id="127"/>
      <w:bookmarkEnd w:id="128"/>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bookmarkStart w:id="129" w:name="_Toc29307"/>
      <w:bookmarkStart w:id="130" w:name="_Toc204429138"/>
      <w:bookmarkStart w:id="131" w:name="_Toc204219859"/>
      <w:bookmarkStart w:id="132" w:name="_Toc525109144"/>
      <w:r>
        <w:rPr>
          <w:rFonts w:hint="eastAsia" w:ascii="宋体" w:hAnsi="宋体" w:eastAsia="宋体" w:cs="宋体"/>
          <w:color w:val="auto"/>
          <w:szCs w:val="28"/>
        </w:rPr>
        <w:t>1）</w:t>
      </w:r>
      <w:r>
        <w:rPr>
          <w:rFonts w:hint="eastAsia" w:ascii="宋体" w:hAnsi="宋体" w:eastAsia="宋体" w:cs="宋体"/>
          <w:color w:val="auto"/>
          <w:szCs w:val="28"/>
        </w:rPr>
        <w:t>组织机构</w:t>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江西兆驰半导体有限公司</w:t>
      </w:r>
      <w:r>
        <w:rPr>
          <w:rFonts w:hint="eastAsia" w:ascii="宋体" w:hAnsi="宋体" w:eastAsia="宋体" w:cs="宋体"/>
          <w:color w:val="auto"/>
          <w:szCs w:val="28"/>
        </w:rPr>
        <w:t>具有现代化的管理机构，包括</w:t>
      </w:r>
      <w:r>
        <w:rPr>
          <w:rFonts w:hint="eastAsia" w:ascii="宋体" w:hAnsi="宋体" w:eastAsia="宋体" w:cs="宋体"/>
          <w:color w:val="auto"/>
          <w:szCs w:val="28"/>
        </w:rPr>
        <w:t>总经理、</w:t>
      </w:r>
      <w:r>
        <w:rPr>
          <w:rFonts w:hint="eastAsia" w:ascii="宋体" w:hAnsi="宋体" w:eastAsia="宋体" w:cs="宋体"/>
          <w:color w:val="auto"/>
          <w:szCs w:val="28"/>
        </w:rPr>
        <w:t>首席运营官以及下属各机构及分公司等，公司组织机构如</w:t>
      </w:r>
      <w:r>
        <w:rPr>
          <w:rFonts w:hint="eastAsia" w:ascii="宋体" w:hAnsi="宋体" w:eastAsia="宋体" w:cs="宋体"/>
          <w:color w:val="auto"/>
          <w:szCs w:val="28"/>
        </w:rPr>
        <w:t>下</w:t>
      </w:r>
      <w:r>
        <w:rPr>
          <w:rFonts w:hint="eastAsia" w:ascii="宋体" w:hAnsi="宋体" w:eastAsia="宋体" w:cs="宋体"/>
          <w:color w:val="auto"/>
          <w:szCs w:val="28"/>
        </w:rPr>
        <w:t>图</w:t>
      </w:r>
      <w:r>
        <w:rPr>
          <w:rFonts w:hint="eastAsia" w:ascii="宋体" w:hAnsi="宋体" w:eastAsia="宋体" w:cs="宋体"/>
          <w:color w:val="auto"/>
          <w:szCs w:val="28"/>
        </w:rPr>
        <w:t>。</w:t>
      </w:r>
    </w:p>
    <w:p>
      <w:pPr>
        <w:autoSpaceDE w:val="0"/>
        <w:autoSpaceDN w:val="0"/>
        <w:jc w:val="center"/>
        <w:textAlignment w:val="bottom"/>
        <w:rPr>
          <w:rFonts w:hint="eastAsia" w:ascii="宋体" w:hAnsi="宋体" w:eastAsia="宋体" w:cs="宋体"/>
          <w:color w:val="auto"/>
          <w:szCs w:val="28"/>
        </w:rPr>
      </w:pPr>
      <w:r>
        <w:rPr>
          <w:rFonts w:hint="eastAsia" w:ascii="宋体" w:hAnsi="宋体" w:eastAsia="宋体" w:cs="宋体"/>
          <w:color w:val="auto"/>
        </w:rPr>
        <w:drawing>
          <wp:inline distT="0" distB="0" distL="114300" distR="114300">
            <wp:extent cx="5485130" cy="2621915"/>
            <wp:effectExtent l="0" t="0" r="1270" b="6985"/>
            <wp:docPr id="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6"/>
                    <pic:cNvPicPr>
                      <a:picLocks noChangeAspect="1"/>
                    </pic:cNvPicPr>
                  </pic:nvPicPr>
                  <pic:blipFill>
                    <a:blip r:embed="rId16"/>
                    <a:stretch>
                      <a:fillRect/>
                    </a:stretch>
                  </pic:blipFill>
                  <pic:spPr>
                    <a:xfrm>
                      <a:off x="0" y="0"/>
                      <a:ext cx="5485130" cy="2621915"/>
                    </a:xfrm>
                    <a:prstGeom prst="rect">
                      <a:avLst/>
                    </a:prstGeom>
                    <a:noFill/>
                    <a:ln>
                      <a:noFill/>
                    </a:ln>
                  </pic:spPr>
                </pic:pic>
              </a:graphicData>
            </a:graphic>
          </wp:inline>
        </w:drawing>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drawing>
          <wp:inline distT="0" distB="0" distL="114300" distR="114300">
            <wp:extent cx="19050" cy="19050"/>
            <wp:effectExtent l="0" t="0" r="0" b="0"/>
            <wp:docPr id="6" name="图片 97" descr="wp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7" descr="wps14"/>
                    <pic:cNvPicPr>
                      <a:picLocks noChangeAspect="1"/>
                    </pic:cNvPicPr>
                  </pic:nvPicPr>
                  <pic:blipFill>
                    <a:blip r:embed="rId17"/>
                    <a:stretch>
                      <a:fillRect/>
                    </a:stretch>
                  </pic:blipFill>
                  <pic:spPr>
                    <a:xfrm>
                      <a:off x="0" y="0"/>
                      <a:ext cx="19050" cy="19050"/>
                    </a:xfrm>
                    <a:prstGeom prst="rect">
                      <a:avLst/>
                    </a:prstGeom>
                    <a:noFill/>
                    <a:ln>
                      <a:noFill/>
                    </a:ln>
                  </pic:spPr>
                </pic:pic>
              </a:graphicData>
            </a:graphic>
          </wp:inline>
        </w:drawing>
      </w:r>
      <w:r>
        <w:rPr>
          <w:rFonts w:hint="eastAsia" w:ascii="宋体" w:hAnsi="宋体" w:eastAsia="宋体" w:cs="宋体"/>
          <w:color w:val="auto"/>
          <w:szCs w:val="28"/>
        </w:rPr>
        <w:t>2）</w:t>
      </w:r>
      <w:r>
        <w:rPr>
          <w:rFonts w:hint="eastAsia" w:ascii="宋体" w:hAnsi="宋体" w:eastAsia="宋体" w:cs="宋体"/>
          <w:color w:val="auto"/>
          <w:szCs w:val="28"/>
        </w:rPr>
        <w:t xml:space="preserve"> 劳动定员</w:t>
      </w:r>
    </w:p>
    <w:p>
      <w:pPr>
        <w:pageBreakBefore w:val="0"/>
        <w:widowControl w:val="0"/>
        <w:kinsoku/>
        <w:wordWrap/>
        <w:overflowPunct/>
        <w:topLinePunct w:val="0"/>
        <w:bidi w:val="0"/>
        <w:adjustRightInd/>
        <w:snapToGrid/>
        <w:spacing w:line="600" w:lineRule="exact"/>
        <w:ind w:firstLine="840" w:firstLineChars="300"/>
        <w:textAlignment w:val="auto"/>
        <w:rPr>
          <w:rFonts w:hint="eastAsia" w:ascii="宋体" w:hAnsi="宋体" w:eastAsia="宋体" w:cs="宋体"/>
          <w:color w:val="auto"/>
          <w:szCs w:val="28"/>
        </w:rPr>
      </w:pPr>
      <w:r>
        <w:rPr>
          <w:rFonts w:hint="eastAsia" w:ascii="宋体" w:hAnsi="宋体" w:eastAsia="宋体" w:cs="宋体"/>
          <w:color w:val="auto"/>
          <w:szCs w:val="28"/>
        </w:rPr>
        <w:t>按照国家的法律法规，结合公司的生产大纲，为建立完善的劳动工作制度，工作制度实行</w:t>
      </w:r>
      <w:r>
        <w:rPr>
          <w:rFonts w:hint="eastAsia" w:ascii="宋体" w:hAnsi="宋体" w:eastAsia="宋体" w:cs="宋体"/>
          <w:color w:val="auto"/>
          <w:szCs w:val="28"/>
          <w:lang w:val="en-US" w:eastAsia="zh-CN"/>
        </w:rPr>
        <w:t>8</w:t>
      </w:r>
      <w:r>
        <w:rPr>
          <w:rFonts w:hint="eastAsia" w:ascii="宋体" w:hAnsi="宋体" w:eastAsia="宋体" w:cs="宋体"/>
          <w:color w:val="auto"/>
          <w:szCs w:val="28"/>
        </w:rPr>
        <w:t>小时/班，</w:t>
      </w:r>
      <w:r>
        <w:rPr>
          <w:rFonts w:hint="eastAsia" w:ascii="宋体" w:hAnsi="宋体" w:eastAsia="宋体" w:cs="宋体"/>
          <w:color w:val="auto"/>
          <w:szCs w:val="28"/>
          <w:lang w:val="en-US" w:eastAsia="zh-CN"/>
        </w:rPr>
        <w:t>3</w:t>
      </w:r>
      <w:r>
        <w:rPr>
          <w:rFonts w:hint="eastAsia" w:ascii="宋体" w:hAnsi="宋体" w:eastAsia="宋体" w:cs="宋体"/>
          <w:color w:val="auto"/>
          <w:szCs w:val="28"/>
        </w:rPr>
        <w:t>班/天，</w:t>
      </w:r>
      <w:r>
        <w:rPr>
          <w:rFonts w:hint="eastAsia" w:ascii="宋体" w:hAnsi="宋体" w:eastAsia="宋体" w:cs="宋体"/>
          <w:color w:val="auto"/>
          <w:szCs w:val="28"/>
        </w:rPr>
        <w:t>两班两运转</w:t>
      </w:r>
      <w:r>
        <w:rPr>
          <w:rFonts w:hint="eastAsia" w:ascii="宋体" w:hAnsi="宋体" w:eastAsia="宋体" w:cs="宋体"/>
          <w:color w:val="auto"/>
          <w:szCs w:val="28"/>
        </w:rPr>
        <w:t>的工作制，年工作日为</w:t>
      </w:r>
      <w:r>
        <w:rPr>
          <w:rFonts w:hint="eastAsia" w:ascii="宋体" w:hAnsi="宋体" w:eastAsia="宋体" w:cs="宋体"/>
          <w:color w:val="auto"/>
          <w:szCs w:val="28"/>
        </w:rPr>
        <w:t>330</w:t>
      </w:r>
      <w:r>
        <w:rPr>
          <w:rFonts w:hint="eastAsia" w:ascii="宋体" w:hAnsi="宋体" w:eastAsia="宋体" w:cs="宋体"/>
          <w:color w:val="auto"/>
          <w:szCs w:val="28"/>
        </w:rPr>
        <w:t>天。</w:t>
      </w:r>
      <w:r>
        <w:rPr>
          <w:rFonts w:hint="eastAsia" w:ascii="宋体" w:hAnsi="宋体" w:eastAsia="宋体" w:cs="宋体"/>
          <w:color w:val="auto"/>
          <w:szCs w:val="28"/>
        </w:rPr>
        <w:t>建设</w:t>
      </w:r>
      <w:r>
        <w:rPr>
          <w:rFonts w:hint="eastAsia" w:ascii="宋体" w:hAnsi="宋体" w:eastAsia="宋体" w:cs="宋体"/>
          <w:color w:val="auto"/>
          <w:szCs w:val="28"/>
        </w:rPr>
        <w:t>项目员工共约20人。</w:t>
      </w:r>
    </w:p>
    <w:p>
      <w:pPr>
        <w:pageBreakBefore w:val="0"/>
        <w:widowControl w:val="0"/>
        <w:kinsoku/>
        <w:wordWrap/>
        <w:overflowPunct/>
        <w:topLinePunct w:val="0"/>
        <w:bidi w:val="0"/>
        <w:adjustRightInd/>
        <w:snapToGrid/>
        <w:spacing w:line="600" w:lineRule="exact"/>
        <w:ind w:firstLine="840" w:firstLineChars="300"/>
        <w:textAlignment w:val="auto"/>
        <w:rPr>
          <w:rFonts w:hint="eastAsia" w:ascii="宋体" w:hAnsi="宋体" w:eastAsia="宋体" w:cs="宋体"/>
          <w:strike/>
          <w:color w:val="auto"/>
          <w:szCs w:val="28"/>
        </w:rPr>
      </w:pPr>
      <w:r>
        <w:rPr>
          <w:rFonts w:hint="eastAsia" w:ascii="宋体" w:hAnsi="宋体" w:eastAsia="宋体" w:cs="宋体"/>
          <w:color w:val="auto"/>
          <w:szCs w:val="28"/>
        </w:rPr>
        <w:t>该项目组织机构按照公司规范化运作机制，实行总经理领导下负责制。厂长负责执行集团通过的各项决议，组织生产、经营和后勤的管理工作。该项目生产组织机构按照公司组织机构章程，按工作需要设立职能部门，根据精简机构、强化科学管理的原则，配置各级管理人员。</w:t>
      </w:r>
    </w:p>
    <w:p>
      <w:pPr>
        <w:pStyle w:val="8"/>
        <w:pageBreakBefore w:val="0"/>
        <w:widowControl w:val="0"/>
        <w:kinsoku/>
        <w:wordWrap/>
        <w:overflowPunct/>
        <w:topLinePunct w:val="0"/>
        <w:bidi w:val="0"/>
        <w:adjustRightInd/>
        <w:snapToGrid/>
        <w:spacing w:line="600" w:lineRule="exact"/>
        <w:textAlignment w:val="auto"/>
        <w:rPr>
          <w:rFonts w:hint="eastAsia" w:ascii="宋体" w:hAnsi="宋体" w:eastAsia="宋体" w:cs="宋体"/>
          <w:color w:val="auto"/>
          <w:kern w:val="0"/>
          <w:szCs w:val="28"/>
        </w:rPr>
      </w:pPr>
      <w:bookmarkStart w:id="133" w:name="_Toc11637"/>
      <w:r>
        <w:rPr>
          <w:rFonts w:hint="eastAsia" w:ascii="宋体" w:hAnsi="宋体" w:eastAsia="宋体" w:cs="宋体"/>
          <w:color w:val="auto"/>
          <w:kern w:val="0"/>
          <w:szCs w:val="28"/>
        </w:rPr>
        <w:t>2.</w:t>
      </w:r>
      <w:r>
        <w:rPr>
          <w:rFonts w:hint="eastAsia" w:ascii="宋体" w:hAnsi="宋体" w:eastAsia="宋体" w:cs="宋体"/>
          <w:color w:val="auto"/>
          <w:kern w:val="0"/>
          <w:szCs w:val="28"/>
        </w:rPr>
        <w:t>7</w:t>
      </w:r>
      <w:r>
        <w:rPr>
          <w:rFonts w:hint="eastAsia" w:ascii="宋体" w:hAnsi="宋体" w:eastAsia="宋体" w:cs="宋体"/>
          <w:color w:val="auto"/>
          <w:kern w:val="0"/>
          <w:szCs w:val="28"/>
        </w:rPr>
        <w:t>.</w:t>
      </w:r>
      <w:r>
        <w:rPr>
          <w:rFonts w:hint="eastAsia" w:ascii="宋体" w:hAnsi="宋体" w:eastAsia="宋体" w:cs="宋体"/>
          <w:color w:val="auto"/>
          <w:kern w:val="0"/>
          <w:szCs w:val="28"/>
        </w:rPr>
        <w:t>1个人防护用品、应急物资</w:t>
      </w:r>
      <w:bookmarkEnd w:id="133"/>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bookmarkStart w:id="134" w:name="_Hlk19802206"/>
      <w:r>
        <w:rPr>
          <w:rFonts w:hint="eastAsia" w:ascii="宋体" w:hAnsi="宋体" w:eastAsia="宋体" w:cs="宋体"/>
          <w:color w:val="auto"/>
          <w:szCs w:val="28"/>
        </w:rPr>
        <w:t>操作人员配备有耐</w:t>
      </w:r>
      <w:r>
        <w:rPr>
          <w:rFonts w:hint="eastAsia" w:ascii="宋体" w:hAnsi="宋体" w:eastAsia="宋体" w:cs="宋体"/>
          <w:color w:val="auto"/>
          <w:szCs w:val="28"/>
        </w:rPr>
        <w:t>酸碱</w:t>
      </w:r>
      <w:r>
        <w:rPr>
          <w:rFonts w:hint="eastAsia" w:ascii="宋体" w:hAnsi="宋体" w:eastAsia="宋体" w:cs="宋体"/>
          <w:color w:val="auto"/>
          <w:szCs w:val="28"/>
        </w:rPr>
        <w:t>手套、</w:t>
      </w:r>
      <w:r>
        <w:rPr>
          <w:rFonts w:hint="eastAsia" w:ascii="宋体" w:hAnsi="宋体" w:eastAsia="宋体" w:cs="宋体"/>
          <w:color w:val="auto"/>
          <w:szCs w:val="28"/>
        </w:rPr>
        <w:t>防化服、</w:t>
      </w:r>
      <w:r>
        <w:rPr>
          <w:rFonts w:hint="eastAsia" w:ascii="宋体" w:hAnsi="宋体" w:eastAsia="宋体" w:cs="宋体"/>
          <w:color w:val="auto"/>
          <w:szCs w:val="28"/>
        </w:rPr>
        <w:t>工作服、</w:t>
      </w:r>
      <w:r>
        <w:rPr>
          <w:rFonts w:hint="eastAsia" w:ascii="宋体" w:hAnsi="宋体" w:eastAsia="宋体" w:cs="宋体"/>
          <w:color w:val="auto"/>
          <w:szCs w:val="28"/>
        </w:rPr>
        <w:t>安全帽</w:t>
      </w:r>
      <w:r>
        <w:rPr>
          <w:rFonts w:hint="eastAsia" w:ascii="宋体" w:hAnsi="宋体" w:eastAsia="宋体" w:cs="宋体"/>
          <w:color w:val="auto"/>
          <w:szCs w:val="28"/>
        </w:rPr>
        <w:t>、口罩等劳动保护用品，</w:t>
      </w:r>
      <w:bookmarkEnd w:id="134"/>
      <w:r>
        <w:rPr>
          <w:rFonts w:hint="eastAsia" w:ascii="宋体" w:hAnsi="宋体" w:eastAsia="宋体" w:cs="宋体"/>
          <w:color w:val="auto"/>
          <w:szCs w:val="28"/>
          <w:lang w:eastAsia="zh-CN"/>
        </w:rPr>
        <w:t>在</w:t>
      </w:r>
      <w:r>
        <w:rPr>
          <w:rFonts w:hint="eastAsia" w:ascii="宋体" w:hAnsi="宋体" w:eastAsia="宋体" w:cs="宋体"/>
          <w:color w:val="auto"/>
          <w:szCs w:val="28"/>
        </w:rPr>
        <w:t>中控室</w:t>
      </w:r>
      <w:r>
        <w:rPr>
          <w:rFonts w:hint="eastAsia" w:ascii="宋体" w:hAnsi="宋体" w:eastAsia="宋体" w:cs="宋体"/>
          <w:color w:val="auto"/>
          <w:szCs w:val="28"/>
          <w:lang w:eastAsia="zh-CN"/>
        </w:rPr>
        <w:t>、车间等处</w:t>
      </w:r>
      <w:r>
        <w:rPr>
          <w:rFonts w:hint="eastAsia" w:ascii="宋体" w:hAnsi="宋体" w:eastAsia="宋体" w:cs="宋体"/>
          <w:color w:val="auto"/>
          <w:szCs w:val="28"/>
        </w:rPr>
        <w:t>配备有应急救援物资。</w:t>
      </w:r>
    </w:p>
    <w:p>
      <w:pPr>
        <w:pStyle w:val="2"/>
        <w:pageBreakBefore w:val="0"/>
        <w:widowControl w:val="0"/>
        <w:kinsoku/>
        <w:wordWrap/>
        <w:overflowPunct/>
        <w:topLinePunct w:val="0"/>
        <w:bidi w:val="0"/>
        <w:adjustRightInd/>
        <w:snapToGrid/>
        <w:spacing w:line="600" w:lineRule="exact"/>
        <w:jc w:val="center"/>
        <w:textAlignment w:val="auto"/>
        <w:rPr>
          <w:rFonts w:hint="eastAsia" w:ascii="宋体" w:hAnsi="宋体" w:eastAsia="宋体" w:cs="宋体"/>
          <w:color w:val="auto"/>
          <w:lang w:val="en-US" w:eastAsia="zh-CN"/>
        </w:rPr>
      </w:pPr>
      <w:r>
        <w:rPr>
          <w:rFonts w:hint="eastAsia" w:ascii="宋体" w:hAnsi="宋体" w:eastAsia="宋体" w:cs="宋体"/>
          <w:color w:val="auto"/>
          <w:szCs w:val="28"/>
          <w:lang w:eastAsia="zh-CN"/>
        </w:rPr>
        <w:t>表</w:t>
      </w:r>
      <w:r>
        <w:rPr>
          <w:rFonts w:hint="eastAsia" w:ascii="宋体" w:hAnsi="宋体" w:eastAsia="宋体" w:cs="宋体"/>
          <w:color w:val="auto"/>
          <w:szCs w:val="28"/>
          <w:lang w:val="en-US" w:eastAsia="zh-CN"/>
        </w:rPr>
        <w:t>2.7-1应急物资配备一览表</w:t>
      </w:r>
    </w:p>
    <w:tbl>
      <w:tblPr>
        <w:tblStyle w:val="28"/>
        <w:tblW w:w="96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1"/>
        <w:gridCol w:w="3657"/>
        <w:gridCol w:w="947"/>
        <w:gridCol w:w="3214"/>
        <w:gridCol w:w="8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物资名称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存放位置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正压式空气呼吸器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中控室、车间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正压式空气呼吸器备用气瓶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中控室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安全帽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50</w:t>
            </w:r>
            <w:r>
              <w:rPr>
                <w:rFonts w:hint="eastAsia" w:ascii="宋体" w:hAnsi="宋体" w:eastAsia="宋体" w:cs="宋体"/>
                <w:i w:val="0"/>
                <w:iCs w:val="0"/>
                <w:color w:val="auto"/>
                <w:kern w:val="0"/>
                <w:sz w:val="21"/>
                <w:szCs w:val="21"/>
                <w:u w:val="none"/>
                <w:lang w:val="en-US" w:eastAsia="zh-CN" w:bidi="ar"/>
              </w:rPr>
              <w:t>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应急物资柜、办公室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防护手套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若干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应急物资柜</w:t>
            </w:r>
            <w:r>
              <w:rPr>
                <w:rFonts w:hint="eastAsia" w:ascii="宋体" w:hAnsi="宋体" w:eastAsia="宋体" w:cs="宋体"/>
                <w:i w:val="0"/>
                <w:iCs w:val="0"/>
                <w:color w:val="auto"/>
                <w:kern w:val="0"/>
                <w:sz w:val="21"/>
                <w:szCs w:val="21"/>
                <w:u w:val="none"/>
                <w:lang w:val="en-US" w:eastAsia="zh-CN" w:bidi="ar"/>
              </w:rPr>
              <w:t>24双，车间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全面罩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若干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应急物资柜</w:t>
            </w:r>
            <w:r>
              <w:rPr>
                <w:rFonts w:hint="eastAsia" w:ascii="宋体" w:hAnsi="宋体" w:eastAsia="宋体" w:cs="宋体"/>
                <w:i w:val="0"/>
                <w:iCs w:val="0"/>
                <w:color w:val="auto"/>
                <w:kern w:val="0"/>
                <w:sz w:val="21"/>
                <w:szCs w:val="21"/>
                <w:u w:val="none"/>
                <w:lang w:val="en-US" w:eastAsia="zh-CN" w:bidi="ar"/>
              </w:rPr>
              <w:t>24个，车间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滤毒盒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若干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应急物资柜</w:t>
            </w:r>
            <w:r>
              <w:rPr>
                <w:rFonts w:hint="eastAsia" w:ascii="宋体" w:hAnsi="宋体" w:eastAsia="宋体" w:cs="宋体"/>
                <w:i w:val="0"/>
                <w:iCs w:val="0"/>
                <w:color w:val="auto"/>
                <w:kern w:val="0"/>
                <w:sz w:val="21"/>
                <w:szCs w:val="21"/>
                <w:u w:val="none"/>
                <w:lang w:val="en-US" w:eastAsia="zh-CN" w:bidi="ar"/>
              </w:rPr>
              <w:t>24套，车间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耐酸碱鞋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若干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应急物资柜</w:t>
            </w:r>
            <w:r>
              <w:rPr>
                <w:rFonts w:hint="eastAsia" w:ascii="宋体" w:hAnsi="宋体" w:eastAsia="宋体" w:cs="宋体"/>
                <w:i w:val="0"/>
                <w:iCs w:val="0"/>
                <w:color w:val="auto"/>
                <w:kern w:val="0"/>
                <w:sz w:val="21"/>
                <w:szCs w:val="21"/>
                <w:u w:val="none"/>
                <w:lang w:val="en-US" w:eastAsia="zh-CN" w:bidi="ar"/>
              </w:rPr>
              <w:t>24双，车间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碳酸氢钠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11</w:t>
            </w:r>
            <w:r>
              <w:rPr>
                <w:rFonts w:hint="eastAsia" w:ascii="宋体" w:hAnsi="宋体" w:eastAsia="宋体" w:cs="宋体"/>
                <w:i w:val="0"/>
                <w:iCs w:val="0"/>
                <w:color w:val="auto"/>
                <w:kern w:val="0"/>
                <w:sz w:val="21"/>
                <w:szCs w:val="21"/>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应急物资柜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灭火毯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22</w:t>
            </w:r>
            <w:r>
              <w:rPr>
                <w:rFonts w:hint="eastAsia" w:ascii="宋体" w:hAnsi="宋体" w:eastAsia="宋体" w:cs="宋体"/>
                <w:i w:val="0"/>
                <w:iCs w:val="0"/>
                <w:color w:val="auto"/>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应急物资柜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葡萄糖酸钙软膏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5</w:t>
            </w:r>
            <w:r>
              <w:rPr>
                <w:rFonts w:hint="eastAsia" w:ascii="宋体" w:hAnsi="宋体" w:eastAsia="宋体" w:cs="宋体"/>
                <w:i w:val="0"/>
                <w:iCs w:val="0"/>
                <w:color w:val="auto"/>
                <w:kern w:val="0"/>
                <w:sz w:val="21"/>
                <w:szCs w:val="21"/>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应急物资柜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去氟灵洗眼液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5</w:t>
            </w:r>
            <w:r>
              <w:rPr>
                <w:rFonts w:hint="eastAsia" w:ascii="宋体" w:hAnsi="宋体" w:eastAsia="宋体" w:cs="宋体"/>
                <w:i w:val="0"/>
                <w:iCs w:val="0"/>
                <w:color w:val="auto"/>
                <w:kern w:val="0"/>
                <w:sz w:val="21"/>
                <w:szCs w:val="21"/>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应急物资柜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硼酸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11</w:t>
            </w:r>
            <w:r>
              <w:rPr>
                <w:rFonts w:hint="eastAsia" w:ascii="宋体" w:hAnsi="宋体" w:eastAsia="宋体" w:cs="宋体"/>
                <w:i w:val="0"/>
                <w:iCs w:val="0"/>
                <w:color w:val="auto"/>
                <w:kern w:val="0"/>
                <w:sz w:val="21"/>
                <w:szCs w:val="21"/>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应急物资柜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水基型灭火器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应急物资柜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吸酸棉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若干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应急物资柜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C</w:t>
            </w:r>
            <w:r>
              <w:rPr>
                <w:rFonts w:hint="eastAsia" w:ascii="宋体" w:hAnsi="宋体" w:eastAsia="宋体" w:cs="宋体"/>
                <w:i w:val="0"/>
                <w:iCs w:val="0"/>
                <w:color w:val="auto"/>
                <w:kern w:val="0"/>
                <w:sz w:val="21"/>
                <w:szCs w:val="21"/>
                <w:u w:val="none"/>
                <w:lang w:val="en-US" w:eastAsia="zh-CN" w:bidi="ar"/>
              </w:rPr>
              <w:t>级防护服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若干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应急物资柜</w:t>
            </w:r>
            <w:r>
              <w:rPr>
                <w:rFonts w:hint="eastAsia" w:ascii="宋体" w:hAnsi="宋体" w:eastAsia="宋体" w:cs="宋体"/>
                <w:i w:val="0"/>
                <w:iCs w:val="0"/>
                <w:color w:val="auto"/>
                <w:kern w:val="0"/>
                <w:sz w:val="21"/>
                <w:szCs w:val="21"/>
                <w:u w:val="none"/>
                <w:lang w:val="en-US" w:eastAsia="zh-CN" w:bidi="ar"/>
              </w:rPr>
              <w:t>24套，车间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PH</w:t>
            </w:r>
            <w:r>
              <w:rPr>
                <w:rFonts w:hint="eastAsia" w:ascii="宋体" w:hAnsi="宋体" w:eastAsia="宋体" w:cs="宋体"/>
                <w:i w:val="0"/>
                <w:iCs w:val="0"/>
                <w:color w:val="auto"/>
                <w:kern w:val="0"/>
                <w:sz w:val="21"/>
                <w:szCs w:val="21"/>
                <w:u w:val="none"/>
                <w:lang w:val="en-US" w:eastAsia="zh-CN" w:bidi="ar"/>
              </w:rPr>
              <w:t>试纸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若干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应急物资柜、车间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防护面罩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若干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应急物资柜，车间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防护眼镜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若干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应急物资柜</w:t>
            </w:r>
            <w:r>
              <w:rPr>
                <w:rFonts w:hint="eastAsia" w:ascii="宋体" w:hAnsi="宋体" w:eastAsia="宋体" w:cs="宋体"/>
                <w:i w:val="0"/>
                <w:iCs w:val="0"/>
                <w:color w:val="auto"/>
                <w:kern w:val="0"/>
                <w:sz w:val="21"/>
                <w:szCs w:val="21"/>
                <w:u w:val="none"/>
                <w:lang w:val="en-US" w:eastAsia="zh-CN" w:bidi="ar"/>
              </w:rPr>
              <w:t>24套，车间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创口贴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7</w:t>
            </w:r>
            <w:r>
              <w:rPr>
                <w:rFonts w:hint="eastAsia" w:ascii="宋体" w:hAnsi="宋体" w:eastAsia="宋体" w:cs="宋体"/>
                <w:i w:val="0"/>
                <w:iCs w:val="0"/>
                <w:color w:val="auto"/>
                <w:kern w:val="0"/>
                <w:sz w:val="21"/>
                <w:szCs w:val="21"/>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云南白药喷雾剂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7</w:t>
            </w:r>
            <w:r>
              <w:rPr>
                <w:rFonts w:hint="eastAsia" w:ascii="宋体" w:hAnsi="宋体" w:eastAsia="宋体" w:cs="宋体"/>
                <w:i w:val="0"/>
                <w:iCs w:val="0"/>
                <w:color w:val="auto"/>
                <w:kern w:val="0"/>
                <w:sz w:val="21"/>
                <w:szCs w:val="21"/>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医用酒精棉球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7</w:t>
            </w:r>
            <w:r>
              <w:rPr>
                <w:rFonts w:hint="eastAsia" w:ascii="宋体" w:hAnsi="宋体" w:eastAsia="宋体" w:cs="宋体"/>
                <w:i w:val="0"/>
                <w:iCs w:val="0"/>
                <w:color w:val="auto"/>
                <w:kern w:val="0"/>
                <w:sz w:val="21"/>
                <w:szCs w:val="21"/>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碘伏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7</w:t>
            </w:r>
            <w:r>
              <w:rPr>
                <w:rFonts w:hint="eastAsia" w:ascii="宋体" w:hAnsi="宋体" w:eastAsia="宋体" w:cs="宋体"/>
                <w:i w:val="0"/>
                <w:iCs w:val="0"/>
                <w:color w:val="auto"/>
                <w:kern w:val="0"/>
                <w:sz w:val="21"/>
                <w:szCs w:val="21"/>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医用棉签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10</w:t>
            </w:r>
            <w:r>
              <w:rPr>
                <w:rFonts w:hint="eastAsia" w:ascii="宋体" w:hAnsi="宋体" w:eastAsia="宋体" w:cs="宋体"/>
                <w:i w:val="0"/>
                <w:iCs w:val="0"/>
                <w:color w:val="auto"/>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体温计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5</w:t>
            </w:r>
            <w:r>
              <w:rPr>
                <w:rFonts w:hint="eastAsia" w:ascii="宋体" w:hAnsi="宋体" w:eastAsia="宋体" w:cs="宋体"/>
                <w:i w:val="0"/>
                <w:iCs w:val="0"/>
                <w:color w:val="auto"/>
                <w:kern w:val="0"/>
                <w:sz w:val="21"/>
                <w:szCs w:val="21"/>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999</w:t>
            </w:r>
            <w:r>
              <w:rPr>
                <w:rFonts w:hint="eastAsia" w:ascii="宋体" w:hAnsi="宋体" w:eastAsia="宋体" w:cs="宋体"/>
                <w:i w:val="0"/>
                <w:iCs w:val="0"/>
                <w:color w:val="auto"/>
                <w:kern w:val="0"/>
                <w:sz w:val="21"/>
                <w:szCs w:val="21"/>
                <w:u w:val="none"/>
                <w:lang w:val="en-US" w:eastAsia="zh-CN" w:bidi="ar"/>
              </w:rPr>
              <w:t>感冒灵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10</w:t>
            </w:r>
            <w:r>
              <w:rPr>
                <w:rFonts w:hint="eastAsia" w:ascii="宋体" w:hAnsi="宋体" w:eastAsia="宋体" w:cs="宋体"/>
                <w:i w:val="0"/>
                <w:iCs w:val="0"/>
                <w:color w:val="auto"/>
                <w:kern w:val="0"/>
                <w:sz w:val="21"/>
                <w:szCs w:val="21"/>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医用纱布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10</w:t>
            </w:r>
            <w:r>
              <w:rPr>
                <w:rFonts w:hint="eastAsia" w:ascii="宋体" w:hAnsi="宋体" w:eastAsia="宋体" w:cs="宋体"/>
                <w:i w:val="0"/>
                <w:iCs w:val="0"/>
                <w:color w:val="auto"/>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医用剪刀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2</w:t>
            </w:r>
            <w:r>
              <w:rPr>
                <w:rFonts w:hint="eastAsia" w:ascii="宋体" w:hAnsi="宋体" w:eastAsia="宋体" w:cs="宋体"/>
                <w:i w:val="0"/>
                <w:iCs w:val="0"/>
                <w:color w:val="auto"/>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绷带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5</w:t>
            </w:r>
            <w:r>
              <w:rPr>
                <w:rFonts w:hint="eastAsia" w:ascii="宋体" w:hAnsi="宋体" w:eastAsia="宋体" w:cs="宋体"/>
                <w:i w:val="0"/>
                <w:iCs w:val="0"/>
                <w:color w:val="auto"/>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医用胶带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20</w:t>
            </w:r>
            <w:r>
              <w:rPr>
                <w:rFonts w:hint="eastAsia" w:ascii="宋体" w:hAnsi="宋体" w:eastAsia="宋体" w:cs="宋体"/>
                <w:i w:val="0"/>
                <w:iCs w:val="0"/>
                <w:color w:val="auto"/>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冰袋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5</w:t>
            </w:r>
            <w:r>
              <w:rPr>
                <w:rFonts w:hint="eastAsia" w:ascii="宋体" w:hAnsi="宋体" w:eastAsia="宋体" w:cs="宋体"/>
                <w:i w:val="0"/>
                <w:iCs w:val="0"/>
                <w:color w:val="auto"/>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止血带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5</w:t>
            </w:r>
            <w:r>
              <w:rPr>
                <w:rFonts w:hint="eastAsia" w:ascii="宋体" w:hAnsi="宋体" w:eastAsia="宋体" w:cs="宋体"/>
                <w:i w:val="0"/>
                <w:iCs w:val="0"/>
                <w:color w:val="auto"/>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三角巾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5</w:t>
            </w:r>
            <w:r>
              <w:rPr>
                <w:rFonts w:hint="eastAsia" w:ascii="宋体" w:hAnsi="宋体" w:eastAsia="宋体" w:cs="宋体"/>
                <w:i w:val="0"/>
                <w:iCs w:val="0"/>
                <w:color w:val="auto"/>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固定夹板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2</w:t>
            </w:r>
            <w:r>
              <w:rPr>
                <w:rFonts w:hint="eastAsia" w:ascii="宋体" w:hAnsi="宋体" w:eastAsia="宋体" w:cs="宋体"/>
                <w:i w:val="0"/>
                <w:iCs w:val="0"/>
                <w:color w:val="auto"/>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警示胶带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20</w:t>
            </w:r>
            <w:r>
              <w:rPr>
                <w:rFonts w:hint="eastAsia" w:ascii="宋体" w:hAnsi="宋体" w:eastAsia="宋体" w:cs="宋体"/>
                <w:i w:val="0"/>
                <w:iCs w:val="0"/>
                <w:color w:val="auto"/>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防雨布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5</w:t>
            </w:r>
            <w:r>
              <w:rPr>
                <w:rFonts w:hint="eastAsia" w:ascii="宋体" w:hAnsi="宋体" w:eastAsia="宋体" w:cs="宋体"/>
                <w:i w:val="0"/>
                <w:iCs w:val="0"/>
                <w:color w:val="auto"/>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中控室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灭火毯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25</w:t>
            </w:r>
            <w:r>
              <w:rPr>
                <w:rFonts w:hint="eastAsia" w:ascii="宋体" w:hAnsi="宋体" w:eastAsia="宋体" w:cs="宋体"/>
                <w:i w:val="0"/>
                <w:iCs w:val="0"/>
                <w:color w:val="auto"/>
                <w:kern w:val="0"/>
                <w:sz w:val="21"/>
                <w:szCs w:val="21"/>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中控室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化学品吸液锁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5</w:t>
            </w:r>
            <w:r>
              <w:rPr>
                <w:rFonts w:hint="eastAsia" w:ascii="宋体" w:hAnsi="宋体" w:eastAsia="宋体" w:cs="宋体"/>
                <w:i w:val="0"/>
                <w:iCs w:val="0"/>
                <w:color w:val="auto"/>
                <w:kern w:val="0"/>
                <w:sz w:val="21"/>
                <w:szCs w:val="21"/>
                <w:u w:val="none"/>
                <w:lang w:val="en-US" w:eastAsia="zh-CN" w:bidi="ar"/>
              </w:rPr>
              <w:t>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中控室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化学品吸液棉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2</w:t>
            </w:r>
            <w:r>
              <w:rPr>
                <w:rFonts w:hint="eastAsia" w:ascii="宋体" w:hAnsi="宋体" w:eastAsia="宋体" w:cs="宋体"/>
                <w:i w:val="0"/>
                <w:iCs w:val="0"/>
                <w:color w:val="auto"/>
                <w:kern w:val="0"/>
                <w:sz w:val="21"/>
                <w:szCs w:val="21"/>
                <w:u w:val="none"/>
                <w:lang w:val="en-US" w:eastAsia="zh-CN" w:bidi="ar"/>
              </w:rPr>
              <w:t>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中控室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防毒全面罩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Style w:val="71"/>
                <w:rFonts w:hint="eastAsia" w:ascii="宋体" w:hAnsi="宋体" w:eastAsia="宋体" w:cs="宋体"/>
                <w:color w:val="auto"/>
                <w:lang w:val="en-US" w:eastAsia="zh-CN" w:bidi="ar"/>
              </w:rPr>
              <w:t>4</w:t>
            </w:r>
            <w:r>
              <w:rPr>
                <w:rFonts w:hint="eastAsia" w:ascii="宋体" w:hAnsi="宋体" w:eastAsia="宋体" w:cs="宋体"/>
                <w:i w:val="0"/>
                <w:iCs w:val="0"/>
                <w:color w:val="auto"/>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应急物资柜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3"/>
              </w:numPr>
              <w:suppressLineNumbers w:val="0"/>
              <w:ind w:left="425" w:leftChars="0" w:hanging="425" w:firstLineChars="0"/>
              <w:jc w:val="center"/>
              <w:textAlignment w:val="center"/>
              <w:rPr>
                <w:rFonts w:hint="eastAsia" w:ascii="宋体" w:hAnsi="宋体" w:eastAsia="宋体" w:cs="宋体"/>
                <w:i w:val="0"/>
                <w:iCs w:val="0"/>
                <w:color w:val="auto"/>
                <w:sz w:val="22"/>
                <w:szCs w:val="22"/>
                <w:u w:val="none"/>
              </w:rPr>
            </w:pPr>
          </w:p>
        </w:tc>
        <w:tc>
          <w:tcPr>
            <w:tcW w:w="3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消防服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中控室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r>
    </w:tbl>
    <w:p>
      <w:pPr>
        <w:pStyle w:val="8"/>
        <w:pageBreakBefore w:val="0"/>
        <w:widowControl w:val="0"/>
        <w:kinsoku/>
        <w:wordWrap/>
        <w:overflowPunct/>
        <w:topLinePunct w:val="0"/>
        <w:bidi w:val="0"/>
        <w:adjustRightInd/>
        <w:snapToGrid/>
        <w:spacing w:line="600" w:lineRule="exact"/>
        <w:textAlignment w:val="auto"/>
        <w:rPr>
          <w:rFonts w:hint="eastAsia" w:ascii="宋体" w:hAnsi="宋体" w:eastAsia="宋体" w:cs="宋体"/>
          <w:color w:val="auto"/>
          <w:kern w:val="0"/>
          <w:szCs w:val="28"/>
        </w:rPr>
      </w:pPr>
      <w:bookmarkStart w:id="135" w:name="_Toc234156950"/>
      <w:bookmarkStart w:id="136" w:name="_Toc258595934"/>
      <w:bookmarkStart w:id="137" w:name="_Toc9308"/>
      <w:r>
        <w:rPr>
          <w:rFonts w:hint="eastAsia" w:ascii="宋体" w:hAnsi="宋体" w:eastAsia="宋体" w:cs="宋体"/>
          <w:color w:val="auto"/>
          <w:kern w:val="0"/>
          <w:szCs w:val="28"/>
        </w:rPr>
        <w:t>2.</w:t>
      </w:r>
      <w:r>
        <w:rPr>
          <w:rFonts w:hint="eastAsia" w:ascii="宋体" w:hAnsi="宋体" w:eastAsia="宋体" w:cs="宋体"/>
          <w:color w:val="auto"/>
          <w:kern w:val="0"/>
          <w:szCs w:val="28"/>
        </w:rPr>
        <w:t>7</w:t>
      </w:r>
      <w:r>
        <w:rPr>
          <w:rFonts w:hint="eastAsia" w:ascii="宋体" w:hAnsi="宋体" w:eastAsia="宋体" w:cs="宋体"/>
          <w:color w:val="auto"/>
          <w:kern w:val="0"/>
          <w:szCs w:val="28"/>
        </w:rPr>
        <w:t>.</w:t>
      </w:r>
      <w:bookmarkEnd w:id="135"/>
      <w:bookmarkEnd w:id="136"/>
      <w:r>
        <w:rPr>
          <w:rFonts w:hint="eastAsia" w:ascii="宋体" w:hAnsi="宋体" w:eastAsia="宋体" w:cs="宋体"/>
          <w:color w:val="auto"/>
          <w:kern w:val="0"/>
          <w:szCs w:val="28"/>
        </w:rPr>
        <w:t>2</w:t>
      </w:r>
      <w:r>
        <w:rPr>
          <w:rFonts w:hint="eastAsia" w:ascii="宋体" w:hAnsi="宋体" w:eastAsia="宋体" w:cs="宋体"/>
          <w:color w:val="auto"/>
          <w:kern w:val="0"/>
          <w:szCs w:val="28"/>
        </w:rPr>
        <w:t>组织</w:t>
      </w:r>
      <w:r>
        <w:rPr>
          <w:rFonts w:hint="eastAsia" w:ascii="宋体" w:hAnsi="宋体" w:eastAsia="宋体" w:cs="宋体"/>
          <w:color w:val="auto"/>
          <w:kern w:val="0"/>
          <w:szCs w:val="28"/>
        </w:rPr>
        <w:t>机构</w:t>
      </w:r>
      <w:bookmarkEnd w:id="137"/>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公司体制实行</w:t>
      </w:r>
      <w:r>
        <w:rPr>
          <w:rFonts w:hint="eastAsia" w:ascii="宋体" w:hAnsi="宋体" w:eastAsia="宋体" w:cs="宋体"/>
          <w:color w:val="auto"/>
          <w:szCs w:val="28"/>
        </w:rPr>
        <w:t>总经理</w:t>
      </w:r>
      <w:r>
        <w:rPr>
          <w:rFonts w:hint="eastAsia" w:ascii="宋体" w:hAnsi="宋体" w:eastAsia="宋体" w:cs="宋体"/>
          <w:color w:val="auto"/>
          <w:szCs w:val="28"/>
        </w:rPr>
        <w:t>负责制，</w:t>
      </w:r>
      <w:r>
        <w:rPr>
          <w:rFonts w:hint="eastAsia" w:ascii="宋体" w:hAnsi="宋体" w:eastAsia="宋体" w:cs="宋体"/>
          <w:color w:val="auto"/>
          <w:szCs w:val="28"/>
        </w:rPr>
        <w:t>总经理</w:t>
      </w:r>
      <w:r>
        <w:rPr>
          <w:rFonts w:hint="eastAsia" w:ascii="宋体" w:hAnsi="宋体" w:eastAsia="宋体" w:cs="宋体"/>
          <w:color w:val="auto"/>
          <w:szCs w:val="28"/>
        </w:rPr>
        <w:t>全面负责企业的生产、经营活动。</w:t>
      </w:r>
      <w:r>
        <w:rPr>
          <w:rFonts w:hint="eastAsia" w:ascii="宋体" w:hAnsi="宋体" w:eastAsia="宋体" w:cs="宋体"/>
          <w:color w:val="auto"/>
          <w:szCs w:val="28"/>
        </w:rPr>
        <w:t>设置了专职的安全管理机构。</w:t>
      </w:r>
    </w:p>
    <w:p>
      <w:pPr>
        <w:pStyle w:val="5"/>
        <w:pageBreakBefore w:val="0"/>
        <w:widowControl w:val="0"/>
        <w:kinsoku/>
        <w:wordWrap/>
        <w:overflowPunct/>
        <w:topLinePunct w:val="0"/>
        <w:bidi w:val="0"/>
        <w:adjustRightInd/>
        <w:snapToGrid/>
        <w:spacing w:line="600" w:lineRule="exact"/>
        <w:textAlignment w:val="auto"/>
        <w:rPr>
          <w:rFonts w:hint="eastAsia" w:ascii="宋体" w:hAnsi="宋体" w:eastAsia="宋体" w:cs="宋体"/>
          <w:color w:val="auto"/>
        </w:rPr>
      </w:pPr>
      <w:r>
        <w:rPr>
          <w:rFonts w:hint="eastAsia" w:ascii="宋体" w:hAnsi="宋体" w:eastAsia="宋体" w:cs="宋体"/>
          <w:color w:val="auto"/>
        </w:rPr>
        <w:t>该公司设立安全生产委员会</w:t>
      </w:r>
      <w:bookmarkStart w:id="138" w:name="_Toc144888888"/>
      <w:bookmarkStart w:id="139" w:name="_Toc258595935"/>
      <w:bookmarkStart w:id="140" w:name="_Toc234156951"/>
      <w:r>
        <w:rPr>
          <w:rFonts w:hint="eastAsia" w:ascii="宋体" w:hAnsi="宋体" w:eastAsia="宋体" w:cs="宋体"/>
          <w:color w:val="auto"/>
        </w:rPr>
        <w:t>，</w:t>
      </w:r>
      <w:r>
        <w:rPr>
          <w:rFonts w:hint="eastAsia" w:ascii="宋体" w:hAnsi="宋体" w:eastAsia="宋体" w:cs="宋体"/>
          <w:color w:val="auto"/>
          <w:szCs w:val="28"/>
        </w:rPr>
        <w:t>该公司设置安全管理机构，设置专职安全管理人员。</w:t>
      </w:r>
    </w:p>
    <w:p>
      <w:pPr>
        <w:pStyle w:val="8"/>
        <w:pageBreakBefore w:val="0"/>
        <w:widowControl w:val="0"/>
        <w:kinsoku/>
        <w:wordWrap/>
        <w:overflowPunct/>
        <w:topLinePunct w:val="0"/>
        <w:bidi w:val="0"/>
        <w:adjustRightInd/>
        <w:snapToGrid/>
        <w:spacing w:line="600" w:lineRule="exact"/>
        <w:textAlignment w:val="auto"/>
        <w:rPr>
          <w:rFonts w:hint="eastAsia" w:ascii="宋体" w:hAnsi="宋体" w:eastAsia="宋体" w:cs="宋体"/>
          <w:color w:val="auto"/>
          <w:kern w:val="0"/>
          <w:szCs w:val="28"/>
        </w:rPr>
      </w:pPr>
      <w:bookmarkStart w:id="141" w:name="_Toc27045"/>
      <w:r>
        <w:rPr>
          <w:rFonts w:hint="eastAsia" w:ascii="宋体" w:hAnsi="宋体" w:eastAsia="宋体" w:cs="宋体"/>
          <w:color w:val="auto"/>
          <w:kern w:val="0"/>
          <w:szCs w:val="28"/>
        </w:rPr>
        <w:t>2.</w:t>
      </w:r>
      <w:r>
        <w:rPr>
          <w:rFonts w:hint="eastAsia" w:ascii="宋体" w:hAnsi="宋体" w:eastAsia="宋体" w:cs="宋体"/>
          <w:color w:val="auto"/>
          <w:kern w:val="0"/>
          <w:szCs w:val="28"/>
        </w:rPr>
        <w:t>7</w:t>
      </w:r>
      <w:r>
        <w:rPr>
          <w:rFonts w:hint="eastAsia" w:ascii="宋体" w:hAnsi="宋体" w:eastAsia="宋体" w:cs="宋体"/>
          <w:color w:val="auto"/>
          <w:kern w:val="0"/>
          <w:szCs w:val="28"/>
        </w:rPr>
        <w:t>.</w:t>
      </w:r>
      <w:r>
        <w:rPr>
          <w:rFonts w:hint="eastAsia" w:ascii="宋体" w:hAnsi="宋体" w:eastAsia="宋体" w:cs="宋体"/>
          <w:color w:val="auto"/>
          <w:kern w:val="0"/>
          <w:szCs w:val="28"/>
        </w:rPr>
        <w:t>3</w:t>
      </w:r>
      <w:r>
        <w:rPr>
          <w:rFonts w:hint="eastAsia" w:ascii="宋体" w:hAnsi="宋体" w:eastAsia="宋体" w:cs="宋体"/>
          <w:color w:val="auto"/>
          <w:kern w:val="0"/>
          <w:szCs w:val="28"/>
        </w:rPr>
        <w:t>安全管理制度</w:t>
      </w:r>
      <w:bookmarkEnd w:id="138"/>
      <w:r>
        <w:rPr>
          <w:rFonts w:hint="eastAsia" w:ascii="宋体" w:hAnsi="宋体" w:eastAsia="宋体" w:cs="宋体"/>
          <w:color w:val="auto"/>
          <w:kern w:val="0"/>
          <w:szCs w:val="28"/>
        </w:rPr>
        <w:t>、操作规程</w:t>
      </w:r>
      <w:bookmarkEnd w:id="139"/>
      <w:bookmarkEnd w:id="140"/>
      <w:r>
        <w:rPr>
          <w:rFonts w:hint="eastAsia" w:ascii="宋体" w:hAnsi="宋体" w:eastAsia="宋体" w:cs="宋体"/>
          <w:color w:val="auto"/>
          <w:kern w:val="0"/>
          <w:szCs w:val="28"/>
        </w:rPr>
        <w:t>及应急预案</w:t>
      </w:r>
      <w:bookmarkEnd w:id="141"/>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该公司制定了各类人员工作职责，明确规定了各级负责人的责任</w:t>
      </w:r>
      <w:r>
        <w:rPr>
          <w:rFonts w:hint="eastAsia" w:ascii="宋体" w:hAnsi="宋体" w:eastAsia="宋体" w:cs="宋体"/>
          <w:color w:val="auto"/>
          <w:szCs w:val="28"/>
        </w:rPr>
        <w:t>，安全管理制度。</w:t>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lang w:eastAsia="zh-CN"/>
        </w:rPr>
      </w:pPr>
      <w:r>
        <w:rPr>
          <w:rFonts w:hint="eastAsia" w:ascii="宋体" w:hAnsi="宋体" w:eastAsia="宋体" w:cs="宋体"/>
          <w:color w:val="auto"/>
          <w:szCs w:val="28"/>
        </w:rPr>
        <w:t>公司建立安全生产责任制、危险化学品安全管理制度、外来作业（施工）安全责任管理制度、消防设施器材管理制度、消防控制室值班管理制度、劳动防护用品管理制度、安全教育培训制度、药品管理制度、安全检查隐患整改制度、门卫安保管理制度、施工作业管理制度、安全检查与巡查制度、生产安全事故应急预案、三废管理规定等安全管理制度。</w:t>
      </w:r>
      <w:r>
        <w:rPr>
          <w:rFonts w:hint="eastAsia" w:ascii="宋体" w:hAnsi="宋体" w:eastAsia="宋体" w:cs="宋体"/>
          <w:color w:val="auto"/>
          <w:szCs w:val="28"/>
          <w:lang w:eastAsia="zh-CN"/>
        </w:rPr>
        <w:t>制定了氨水回收操作规程。具体见附件。</w:t>
      </w:r>
    </w:p>
    <w:p>
      <w:pPr>
        <w:pStyle w:val="8"/>
        <w:pageBreakBefore w:val="0"/>
        <w:widowControl w:val="0"/>
        <w:kinsoku/>
        <w:wordWrap/>
        <w:overflowPunct/>
        <w:topLinePunct w:val="0"/>
        <w:bidi w:val="0"/>
        <w:adjustRightInd/>
        <w:snapToGrid/>
        <w:spacing w:line="600" w:lineRule="exact"/>
        <w:textAlignment w:val="auto"/>
        <w:rPr>
          <w:rFonts w:hint="eastAsia" w:ascii="宋体" w:hAnsi="宋体" w:eastAsia="宋体" w:cs="宋体"/>
          <w:color w:val="auto"/>
          <w:kern w:val="0"/>
          <w:szCs w:val="28"/>
        </w:rPr>
      </w:pPr>
      <w:bookmarkStart w:id="142" w:name="_Toc3715"/>
      <w:bookmarkStart w:id="143" w:name="_Toc144888889"/>
      <w:bookmarkStart w:id="144" w:name="_Toc234156952"/>
      <w:bookmarkStart w:id="145" w:name="_Toc258595936"/>
      <w:r>
        <w:rPr>
          <w:rFonts w:hint="eastAsia" w:ascii="宋体" w:hAnsi="宋体" w:eastAsia="宋体" w:cs="宋体"/>
          <w:color w:val="auto"/>
          <w:kern w:val="0"/>
          <w:szCs w:val="28"/>
        </w:rPr>
        <w:t>2.</w:t>
      </w:r>
      <w:r>
        <w:rPr>
          <w:rFonts w:hint="eastAsia" w:ascii="宋体" w:hAnsi="宋体" w:eastAsia="宋体" w:cs="宋体"/>
          <w:color w:val="auto"/>
          <w:kern w:val="0"/>
          <w:szCs w:val="28"/>
        </w:rPr>
        <w:t>7</w:t>
      </w:r>
      <w:r>
        <w:rPr>
          <w:rFonts w:hint="eastAsia" w:ascii="宋体" w:hAnsi="宋体" w:eastAsia="宋体" w:cs="宋体"/>
          <w:color w:val="auto"/>
          <w:kern w:val="0"/>
          <w:szCs w:val="28"/>
        </w:rPr>
        <w:t>.</w:t>
      </w:r>
      <w:r>
        <w:rPr>
          <w:rFonts w:hint="eastAsia" w:ascii="宋体" w:hAnsi="宋体" w:eastAsia="宋体" w:cs="宋体"/>
          <w:color w:val="auto"/>
          <w:kern w:val="0"/>
          <w:szCs w:val="28"/>
        </w:rPr>
        <w:t>4</w:t>
      </w:r>
      <w:r>
        <w:rPr>
          <w:rFonts w:hint="eastAsia" w:ascii="宋体" w:hAnsi="宋体" w:eastAsia="宋体" w:cs="宋体"/>
          <w:color w:val="auto"/>
          <w:kern w:val="0"/>
          <w:szCs w:val="28"/>
        </w:rPr>
        <w:t>人员培训</w:t>
      </w:r>
      <w:bookmarkEnd w:id="142"/>
      <w:bookmarkEnd w:id="143"/>
      <w:bookmarkEnd w:id="144"/>
      <w:bookmarkEnd w:id="145"/>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bookmarkStart w:id="146" w:name="_Toc258595937"/>
      <w:bookmarkStart w:id="147" w:name="_Toc234156953"/>
      <w:r>
        <w:rPr>
          <w:rFonts w:hint="eastAsia" w:ascii="宋体" w:hAnsi="宋体" w:eastAsia="宋体" w:cs="宋体"/>
          <w:color w:val="auto"/>
          <w:szCs w:val="28"/>
        </w:rPr>
        <w:t>该公司主要负责人</w:t>
      </w:r>
      <w:r>
        <w:rPr>
          <w:rFonts w:hint="eastAsia" w:ascii="宋体" w:hAnsi="宋体" w:eastAsia="宋体" w:cs="宋体"/>
          <w:color w:val="auto"/>
          <w:szCs w:val="28"/>
        </w:rPr>
        <w:t>金从龙经过主要负责人培训合格；安全管理人员钟雪松、吴生龙等2人经过培训合格，并</w:t>
      </w:r>
      <w:r>
        <w:rPr>
          <w:rFonts w:hint="eastAsia" w:ascii="宋体" w:hAnsi="宋体" w:eastAsia="宋体" w:cs="宋体"/>
          <w:color w:val="auto"/>
          <w:szCs w:val="28"/>
        </w:rPr>
        <w:t>取得了合格证书</w:t>
      </w:r>
      <w:r>
        <w:rPr>
          <w:rFonts w:hint="eastAsia" w:ascii="宋体" w:hAnsi="宋体" w:eastAsia="宋体" w:cs="宋体"/>
          <w:color w:val="auto"/>
          <w:szCs w:val="28"/>
        </w:rPr>
        <w:t>，特种作业人员电工、压力容器操作等取证上岗</w:t>
      </w:r>
      <w:r>
        <w:rPr>
          <w:rFonts w:hint="eastAsia" w:ascii="宋体" w:hAnsi="宋体" w:eastAsia="宋体" w:cs="宋体"/>
          <w:color w:val="auto"/>
          <w:szCs w:val="28"/>
        </w:rPr>
        <w:t>。</w:t>
      </w:r>
    </w:p>
    <w:p>
      <w:pPr>
        <w:pageBreakBefore w:val="0"/>
        <w:widowControl w:val="0"/>
        <w:kinsoku/>
        <w:wordWrap/>
        <w:overflowPunct/>
        <w:topLinePunct w:val="0"/>
        <w:bidi w:val="0"/>
        <w:adjustRightInd/>
        <w:snapToGrid/>
        <w:spacing w:line="6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表2.7-1  主要负责人和安全管理人员取证一览表</w:t>
      </w:r>
    </w:p>
    <w:bookmarkEnd w:id="146"/>
    <w:bookmarkEnd w:id="147"/>
    <w:tbl>
      <w:tblPr>
        <w:tblStyle w:val="28"/>
        <w:tblW w:w="5000" w:type="pct"/>
        <w:tblInd w:w="0" w:type="dxa"/>
        <w:tblLayout w:type="fixed"/>
        <w:tblCellMar>
          <w:top w:w="0" w:type="dxa"/>
          <w:left w:w="108" w:type="dxa"/>
          <w:bottom w:w="0" w:type="dxa"/>
          <w:right w:w="108" w:type="dxa"/>
        </w:tblCellMar>
      </w:tblPr>
      <w:tblGrid>
        <w:gridCol w:w="467"/>
        <w:gridCol w:w="882"/>
        <w:gridCol w:w="1376"/>
        <w:gridCol w:w="1603"/>
        <w:gridCol w:w="1856"/>
        <w:gridCol w:w="1414"/>
        <w:gridCol w:w="845"/>
        <w:gridCol w:w="845"/>
      </w:tblGrid>
      <w:tr>
        <w:tblPrEx>
          <w:tblCellMar>
            <w:top w:w="0" w:type="dxa"/>
            <w:left w:w="108" w:type="dxa"/>
            <w:bottom w:w="0" w:type="dxa"/>
            <w:right w:w="108" w:type="dxa"/>
          </w:tblCellMar>
        </w:tblPrEx>
        <w:trPr>
          <w:trHeight w:val="600" w:hRule="atLeast"/>
        </w:trPr>
        <w:tc>
          <w:tcPr>
            <w:tcW w:w="251"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b/>
                <w:bCs/>
                <w:color w:val="auto"/>
                <w:sz w:val="21"/>
                <w:szCs w:val="20"/>
              </w:rPr>
            </w:pPr>
            <w:r>
              <w:rPr>
                <w:rFonts w:hint="eastAsia" w:ascii="宋体" w:hAnsi="宋体" w:eastAsia="宋体" w:cs="宋体"/>
                <w:b/>
                <w:bCs/>
                <w:color w:val="auto"/>
                <w:kern w:val="0"/>
                <w:sz w:val="21"/>
                <w:szCs w:val="20"/>
                <w:lang w:bidi="ar"/>
              </w:rPr>
              <w:t>序号</w:t>
            </w:r>
          </w:p>
        </w:tc>
        <w:tc>
          <w:tcPr>
            <w:tcW w:w="47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b/>
                <w:bCs/>
                <w:color w:val="auto"/>
                <w:sz w:val="21"/>
                <w:szCs w:val="20"/>
              </w:rPr>
            </w:pPr>
            <w:r>
              <w:rPr>
                <w:rFonts w:hint="eastAsia" w:ascii="宋体" w:hAnsi="宋体" w:eastAsia="宋体" w:cs="宋体"/>
                <w:b/>
                <w:bCs/>
                <w:color w:val="auto"/>
                <w:kern w:val="0"/>
                <w:sz w:val="21"/>
                <w:szCs w:val="20"/>
                <w:lang w:bidi="ar"/>
              </w:rPr>
              <w:t>姓 名</w:t>
            </w:r>
          </w:p>
        </w:tc>
        <w:tc>
          <w:tcPr>
            <w:tcW w:w="74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b/>
                <w:bCs/>
                <w:color w:val="auto"/>
                <w:sz w:val="21"/>
                <w:szCs w:val="20"/>
              </w:rPr>
            </w:pPr>
            <w:r>
              <w:rPr>
                <w:rFonts w:hint="eastAsia" w:ascii="宋体" w:hAnsi="宋体" w:eastAsia="宋体" w:cs="宋体"/>
                <w:b/>
                <w:bCs/>
                <w:color w:val="auto"/>
                <w:kern w:val="0"/>
                <w:sz w:val="21"/>
                <w:szCs w:val="20"/>
                <w:lang w:bidi="ar"/>
              </w:rPr>
              <w:t>操作类别</w:t>
            </w:r>
          </w:p>
        </w:tc>
        <w:tc>
          <w:tcPr>
            <w:tcW w:w="862"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b/>
                <w:bCs/>
                <w:color w:val="auto"/>
                <w:sz w:val="21"/>
                <w:szCs w:val="20"/>
              </w:rPr>
            </w:pPr>
            <w:r>
              <w:rPr>
                <w:rFonts w:hint="eastAsia" w:ascii="宋体" w:hAnsi="宋体" w:eastAsia="宋体" w:cs="宋体"/>
                <w:b/>
                <w:bCs/>
                <w:color w:val="auto"/>
                <w:kern w:val="0"/>
                <w:sz w:val="21"/>
                <w:szCs w:val="20"/>
                <w:lang w:bidi="ar"/>
              </w:rPr>
              <w:t>证件名称</w:t>
            </w:r>
          </w:p>
        </w:tc>
        <w:tc>
          <w:tcPr>
            <w:tcW w:w="998"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b/>
                <w:bCs/>
                <w:color w:val="auto"/>
                <w:sz w:val="21"/>
                <w:szCs w:val="20"/>
              </w:rPr>
            </w:pPr>
            <w:r>
              <w:rPr>
                <w:rFonts w:hint="eastAsia" w:ascii="宋体" w:hAnsi="宋体" w:eastAsia="宋体" w:cs="宋体"/>
                <w:b/>
                <w:bCs/>
                <w:color w:val="auto"/>
                <w:kern w:val="0"/>
                <w:sz w:val="21"/>
                <w:szCs w:val="20"/>
                <w:lang w:bidi="ar"/>
              </w:rPr>
              <w:t>发证机关</w:t>
            </w:r>
          </w:p>
        </w:tc>
        <w:tc>
          <w:tcPr>
            <w:tcW w:w="76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b/>
                <w:bCs/>
                <w:color w:val="auto"/>
                <w:sz w:val="21"/>
                <w:szCs w:val="20"/>
              </w:rPr>
            </w:pPr>
            <w:r>
              <w:rPr>
                <w:rFonts w:hint="eastAsia" w:ascii="宋体" w:hAnsi="宋体" w:eastAsia="宋体" w:cs="宋体"/>
                <w:b/>
                <w:bCs/>
                <w:color w:val="auto"/>
                <w:kern w:val="0"/>
                <w:sz w:val="21"/>
                <w:szCs w:val="20"/>
                <w:lang w:bidi="ar"/>
              </w:rPr>
              <w:t>证件编号</w:t>
            </w:r>
          </w:p>
        </w:tc>
        <w:tc>
          <w:tcPr>
            <w:tcW w:w="45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b/>
                <w:bCs/>
                <w:color w:val="auto"/>
                <w:sz w:val="21"/>
                <w:szCs w:val="20"/>
              </w:rPr>
            </w:pPr>
            <w:r>
              <w:rPr>
                <w:rFonts w:hint="eastAsia" w:ascii="宋体" w:hAnsi="宋体" w:eastAsia="宋体" w:cs="宋体"/>
                <w:b/>
                <w:bCs/>
                <w:color w:val="auto"/>
                <w:kern w:val="0"/>
                <w:sz w:val="21"/>
                <w:szCs w:val="20"/>
                <w:lang w:bidi="ar"/>
              </w:rPr>
              <w:t>取证日期</w:t>
            </w:r>
          </w:p>
        </w:tc>
        <w:tc>
          <w:tcPr>
            <w:tcW w:w="45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b/>
                <w:bCs/>
                <w:color w:val="auto"/>
                <w:sz w:val="21"/>
                <w:szCs w:val="20"/>
              </w:rPr>
            </w:pPr>
            <w:r>
              <w:rPr>
                <w:rFonts w:hint="eastAsia" w:ascii="宋体" w:hAnsi="宋体" w:eastAsia="宋体" w:cs="宋体"/>
                <w:b/>
                <w:bCs/>
                <w:color w:val="auto"/>
                <w:kern w:val="0"/>
                <w:sz w:val="21"/>
                <w:szCs w:val="20"/>
                <w:lang w:bidi="ar"/>
              </w:rPr>
              <w:t>有效日期</w:t>
            </w:r>
          </w:p>
        </w:tc>
      </w:tr>
      <w:tr>
        <w:tblPrEx>
          <w:tblCellMar>
            <w:top w:w="0" w:type="dxa"/>
            <w:left w:w="108" w:type="dxa"/>
            <w:bottom w:w="0" w:type="dxa"/>
            <w:right w:w="108" w:type="dxa"/>
          </w:tblCellMar>
        </w:tblPrEx>
        <w:trPr>
          <w:trHeight w:val="465" w:hRule="atLeast"/>
        </w:trPr>
        <w:tc>
          <w:tcPr>
            <w:tcW w:w="251"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1</w:t>
            </w:r>
          </w:p>
        </w:tc>
        <w:tc>
          <w:tcPr>
            <w:tcW w:w="47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陶长华</w:t>
            </w:r>
          </w:p>
        </w:tc>
        <w:tc>
          <w:tcPr>
            <w:tcW w:w="74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高压电工</w:t>
            </w:r>
          </w:p>
        </w:tc>
        <w:tc>
          <w:tcPr>
            <w:tcW w:w="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高压电工作业</w:t>
            </w:r>
          </w:p>
        </w:tc>
        <w:tc>
          <w:tcPr>
            <w:tcW w:w="998"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南昌市行政审批局</w:t>
            </w:r>
          </w:p>
        </w:tc>
        <w:tc>
          <w:tcPr>
            <w:tcW w:w="76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T360122198508234898</w:t>
            </w:r>
          </w:p>
        </w:tc>
        <w:tc>
          <w:tcPr>
            <w:tcW w:w="45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2021/10/15</w:t>
            </w:r>
          </w:p>
        </w:tc>
        <w:tc>
          <w:tcPr>
            <w:tcW w:w="45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2027/10/14</w:t>
            </w:r>
          </w:p>
        </w:tc>
      </w:tr>
      <w:tr>
        <w:tblPrEx>
          <w:tblCellMar>
            <w:top w:w="0" w:type="dxa"/>
            <w:left w:w="108" w:type="dxa"/>
            <w:bottom w:w="0" w:type="dxa"/>
            <w:right w:w="108" w:type="dxa"/>
          </w:tblCellMar>
        </w:tblPrEx>
        <w:trPr>
          <w:trHeight w:val="465" w:hRule="atLeast"/>
        </w:trPr>
        <w:tc>
          <w:tcPr>
            <w:tcW w:w="251"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2</w:t>
            </w:r>
          </w:p>
        </w:tc>
        <w:tc>
          <w:tcPr>
            <w:tcW w:w="47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罗晓锋</w:t>
            </w:r>
          </w:p>
        </w:tc>
        <w:tc>
          <w:tcPr>
            <w:tcW w:w="74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低压电工</w:t>
            </w:r>
          </w:p>
        </w:tc>
        <w:tc>
          <w:tcPr>
            <w:tcW w:w="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低压电工作业</w:t>
            </w:r>
          </w:p>
        </w:tc>
        <w:tc>
          <w:tcPr>
            <w:tcW w:w="998"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安全生产监督管理局</w:t>
            </w:r>
          </w:p>
        </w:tc>
        <w:tc>
          <w:tcPr>
            <w:tcW w:w="76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T360428198812042019</w:t>
            </w:r>
          </w:p>
        </w:tc>
        <w:tc>
          <w:tcPr>
            <w:tcW w:w="45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2019/9/17</w:t>
            </w:r>
          </w:p>
        </w:tc>
        <w:tc>
          <w:tcPr>
            <w:tcW w:w="45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kern w:val="0"/>
                <w:sz w:val="21"/>
                <w:szCs w:val="20"/>
                <w:lang w:bidi="ar"/>
              </w:rPr>
            </w:pPr>
            <w:r>
              <w:rPr>
                <w:rFonts w:hint="eastAsia" w:ascii="宋体" w:hAnsi="宋体" w:eastAsia="宋体" w:cs="宋体"/>
                <w:color w:val="auto"/>
                <w:kern w:val="0"/>
                <w:sz w:val="21"/>
                <w:szCs w:val="20"/>
                <w:lang w:bidi="ar"/>
              </w:rPr>
              <w:t>20</w:t>
            </w:r>
            <w:r>
              <w:rPr>
                <w:rFonts w:hint="eastAsia" w:ascii="宋体" w:hAnsi="宋体" w:eastAsia="宋体" w:cs="宋体"/>
                <w:color w:val="auto"/>
                <w:kern w:val="0"/>
                <w:sz w:val="21"/>
                <w:szCs w:val="20"/>
                <w:lang w:val="en-US" w:eastAsia="zh-CN" w:bidi="ar"/>
              </w:rPr>
              <w:t>22</w:t>
            </w:r>
            <w:r>
              <w:rPr>
                <w:rFonts w:hint="eastAsia" w:ascii="宋体" w:hAnsi="宋体" w:eastAsia="宋体" w:cs="宋体"/>
                <w:color w:val="auto"/>
                <w:kern w:val="0"/>
                <w:sz w:val="21"/>
                <w:szCs w:val="20"/>
                <w:lang w:bidi="ar"/>
              </w:rPr>
              <w:t>/9/16</w:t>
            </w:r>
          </w:p>
        </w:tc>
      </w:tr>
      <w:tr>
        <w:tblPrEx>
          <w:tblCellMar>
            <w:top w:w="0" w:type="dxa"/>
            <w:left w:w="108" w:type="dxa"/>
            <w:bottom w:w="0" w:type="dxa"/>
            <w:right w:w="108" w:type="dxa"/>
          </w:tblCellMar>
        </w:tblPrEx>
        <w:trPr>
          <w:trHeight w:val="660" w:hRule="atLeast"/>
        </w:trPr>
        <w:tc>
          <w:tcPr>
            <w:tcW w:w="251"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3</w:t>
            </w:r>
          </w:p>
        </w:tc>
        <w:tc>
          <w:tcPr>
            <w:tcW w:w="47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吴生龙</w:t>
            </w:r>
          </w:p>
        </w:tc>
        <w:tc>
          <w:tcPr>
            <w:tcW w:w="74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安全生产管理人员</w:t>
            </w:r>
          </w:p>
        </w:tc>
        <w:tc>
          <w:tcPr>
            <w:tcW w:w="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危险化学品经营单位安全生产管理人员</w:t>
            </w:r>
          </w:p>
        </w:tc>
        <w:tc>
          <w:tcPr>
            <w:tcW w:w="998"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南昌市应急管理局</w:t>
            </w:r>
          </w:p>
        </w:tc>
        <w:tc>
          <w:tcPr>
            <w:tcW w:w="76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340221199203054378</w:t>
            </w:r>
          </w:p>
        </w:tc>
        <w:tc>
          <w:tcPr>
            <w:tcW w:w="45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2020/7/31</w:t>
            </w:r>
          </w:p>
        </w:tc>
        <w:tc>
          <w:tcPr>
            <w:tcW w:w="45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2023/7/30</w:t>
            </w:r>
          </w:p>
        </w:tc>
      </w:tr>
      <w:tr>
        <w:tblPrEx>
          <w:tblCellMar>
            <w:top w:w="0" w:type="dxa"/>
            <w:left w:w="108" w:type="dxa"/>
            <w:bottom w:w="0" w:type="dxa"/>
            <w:right w:w="108" w:type="dxa"/>
          </w:tblCellMar>
        </w:tblPrEx>
        <w:trPr>
          <w:trHeight w:val="660" w:hRule="atLeast"/>
        </w:trPr>
        <w:tc>
          <w:tcPr>
            <w:tcW w:w="251"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4</w:t>
            </w:r>
          </w:p>
        </w:tc>
        <w:tc>
          <w:tcPr>
            <w:tcW w:w="47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钟雪松</w:t>
            </w:r>
          </w:p>
        </w:tc>
        <w:tc>
          <w:tcPr>
            <w:tcW w:w="74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安全生产管理人员</w:t>
            </w:r>
          </w:p>
        </w:tc>
        <w:tc>
          <w:tcPr>
            <w:tcW w:w="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危险化学品经营单位安全生产管理人员</w:t>
            </w:r>
          </w:p>
        </w:tc>
        <w:tc>
          <w:tcPr>
            <w:tcW w:w="998"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南昌市应急管理局</w:t>
            </w:r>
          </w:p>
        </w:tc>
        <w:tc>
          <w:tcPr>
            <w:tcW w:w="76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230182198508264429</w:t>
            </w:r>
          </w:p>
        </w:tc>
        <w:tc>
          <w:tcPr>
            <w:tcW w:w="45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2020/7/31</w:t>
            </w:r>
          </w:p>
        </w:tc>
        <w:tc>
          <w:tcPr>
            <w:tcW w:w="45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2023/7/30</w:t>
            </w:r>
          </w:p>
        </w:tc>
      </w:tr>
      <w:tr>
        <w:tblPrEx>
          <w:tblCellMar>
            <w:top w:w="0" w:type="dxa"/>
            <w:left w:w="108" w:type="dxa"/>
            <w:bottom w:w="0" w:type="dxa"/>
            <w:right w:w="108" w:type="dxa"/>
          </w:tblCellMar>
        </w:tblPrEx>
        <w:trPr>
          <w:trHeight w:val="660" w:hRule="atLeast"/>
        </w:trPr>
        <w:tc>
          <w:tcPr>
            <w:tcW w:w="251"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5</w:t>
            </w:r>
          </w:p>
        </w:tc>
        <w:tc>
          <w:tcPr>
            <w:tcW w:w="47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金从龙</w:t>
            </w:r>
          </w:p>
        </w:tc>
        <w:tc>
          <w:tcPr>
            <w:tcW w:w="74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主要负责人</w:t>
            </w:r>
          </w:p>
        </w:tc>
        <w:tc>
          <w:tcPr>
            <w:tcW w:w="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安全管理人员综合类主要负责人</w:t>
            </w:r>
          </w:p>
        </w:tc>
        <w:tc>
          <w:tcPr>
            <w:tcW w:w="998"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南昌市安全科学技术服务中心</w:t>
            </w:r>
          </w:p>
        </w:tc>
        <w:tc>
          <w:tcPr>
            <w:tcW w:w="76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620103197605072632</w:t>
            </w:r>
          </w:p>
        </w:tc>
        <w:tc>
          <w:tcPr>
            <w:tcW w:w="45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2021/4/29</w:t>
            </w:r>
          </w:p>
        </w:tc>
        <w:tc>
          <w:tcPr>
            <w:tcW w:w="45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eastAsia="宋体" w:cs="宋体"/>
                <w:color w:val="auto"/>
                <w:sz w:val="21"/>
                <w:szCs w:val="20"/>
              </w:rPr>
            </w:pPr>
            <w:r>
              <w:rPr>
                <w:rFonts w:hint="eastAsia" w:ascii="宋体" w:hAnsi="宋体" w:eastAsia="宋体" w:cs="宋体"/>
                <w:color w:val="auto"/>
                <w:kern w:val="0"/>
                <w:sz w:val="21"/>
                <w:szCs w:val="20"/>
                <w:lang w:bidi="ar"/>
              </w:rPr>
              <w:t>2024/4/28</w:t>
            </w:r>
          </w:p>
        </w:tc>
      </w:tr>
      <w:bookmarkEnd w:id="129"/>
      <w:bookmarkEnd w:id="130"/>
      <w:bookmarkEnd w:id="131"/>
      <w:bookmarkEnd w:id="132"/>
    </w:tbl>
    <w:p>
      <w:pPr>
        <w:pStyle w:val="7"/>
        <w:pageBreakBefore w:val="0"/>
        <w:widowControl w:val="0"/>
        <w:kinsoku/>
        <w:wordWrap/>
        <w:overflowPunct/>
        <w:topLinePunct w:val="0"/>
        <w:bidi w:val="0"/>
        <w:adjustRightInd/>
        <w:snapToGrid/>
        <w:spacing w:line="600" w:lineRule="exact"/>
        <w:textAlignment w:val="auto"/>
        <w:rPr>
          <w:rFonts w:hint="eastAsia" w:ascii="宋体" w:hAnsi="宋体" w:eastAsia="宋体" w:cs="宋体"/>
          <w:color w:val="auto"/>
          <w:sz w:val="30"/>
          <w:szCs w:val="30"/>
        </w:rPr>
      </w:pPr>
      <w:bookmarkStart w:id="148" w:name="_Toc19214"/>
      <w:bookmarkStart w:id="149" w:name="_Toc525109145"/>
      <w:bookmarkStart w:id="150" w:name="_Toc18635"/>
      <w:bookmarkStart w:id="151" w:name="_Toc3060"/>
      <w:r>
        <w:rPr>
          <w:rFonts w:hint="eastAsia" w:ascii="宋体" w:hAnsi="宋体" w:eastAsia="宋体" w:cs="宋体"/>
          <w:color w:val="auto"/>
          <w:sz w:val="30"/>
          <w:szCs w:val="30"/>
        </w:rPr>
        <w:t>2.8事故应急预案</w:t>
      </w:r>
      <w:bookmarkEnd w:id="148"/>
      <w:bookmarkEnd w:id="149"/>
      <w:bookmarkEnd w:id="150"/>
      <w:bookmarkEnd w:id="151"/>
    </w:p>
    <w:p>
      <w:pPr>
        <w:pageBreakBefore w:val="0"/>
        <w:widowControl w:val="0"/>
        <w:kinsoku/>
        <w:wordWrap/>
        <w:overflowPunct/>
        <w:topLinePunct w:val="0"/>
        <w:autoSpaceDE w:val="0"/>
        <w:autoSpaceDN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bCs/>
          <w:color w:val="auto"/>
          <w:szCs w:val="28"/>
        </w:rPr>
        <w:t>该公司根据企业自身实际情况，依据《生产经营单位</w:t>
      </w:r>
      <w:r>
        <w:rPr>
          <w:rFonts w:hint="eastAsia" w:ascii="宋体" w:hAnsi="宋体" w:eastAsia="宋体" w:cs="宋体"/>
          <w:color w:val="auto"/>
          <w:szCs w:val="28"/>
        </w:rPr>
        <w:t>生产安全</w:t>
      </w:r>
      <w:r>
        <w:rPr>
          <w:rFonts w:hint="eastAsia" w:ascii="宋体" w:hAnsi="宋体" w:eastAsia="宋体" w:cs="宋体"/>
          <w:bCs/>
          <w:color w:val="auto"/>
          <w:szCs w:val="28"/>
        </w:rPr>
        <w:t>事故应急预案编制导则》(GB/T29639-2020)的要求编制了事故应急救援预案，并已备案。</w:t>
      </w:r>
      <w:r>
        <w:rPr>
          <w:rFonts w:hint="eastAsia" w:ascii="宋体" w:hAnsi="宋体" w:eastAsia="宋体" w:cs="宋体"/>
          <w:color w:val="auto"/>
          <w:szCs w:val="28"/>
        </w:rPr>
        <w:t>同时，企业成立有应急救援组织机构，建立了联系方式。</w:t>
      </w:r>
    </w:p>
    <w:p>
      <w:pPr>
        <w:pStyle w:val="6"/>
        <w:pageBreakBefore w:val="0"/>
        <w:widowControl w:val="0"/>
        <w:kinsoku/>
        <w:wordWrap/>
        <w:overflowPunct/>
        <w:topLinePunct w:val="0"/>
        <w:bidi w:val="0"/>
        <w:adjustRightInd/>
        <w:snapToGrid/>
        <w:spacing w:line="600" w:lineRule="exact"/>
        <w:textAlignment w:val="auto"/>
        <w:rPr>
          <w:rFonts w:hint="eastAsia" w:ascii="宋体" w:hAnsi="宋体" w:eastAsia="宋体" w:cs="宋体"/>
          <w:color w:val="auto"/>
        </w:rPr>
      </w:pPr>
      <w:r>
        <w:rPr>
          <w:rFonts w:hint="eastAsia" w:ascii="宋体" w:hAnsi="宋体" w:eastAsia="宋体" w:cs="宋体"/>
          <w:color w:val="auto"/>
          <w:kern w:val="2"/>
          <w:sz w:val="28"/>
          <w:szCs w:val="28"/>
        </w:rPr>
        <w:br w:type="page"/>
      </w:r>
      <w:bookmarkStart w:id="152" w:name="_Toc525109147"/>
      <w:bookmarkStart w:id="153" w:name="_Toc13710"/>
      <w:bookmarkStart w:id="154" w:name="_Toc26491"/>
      <w:bookmarkStart w:id="155" w:name="_Toc26959"/>
      <w:r>
        <w:rPr>
          <w:rFonts w:hint="eastAsia" w:ascii="宋体" w:hAnsi="宋体" w:eastAsia="宋体" w:cs="宋体"/>
          <w:color w:val="auto"/>
        </w:rPr>
        <w:t>3危险、有害因素分析</w:t>
      </w:r>
      <w:bookmarkEnd w:id="152"/>
      <w:bookmarkEnd w:id="153"/>
      <w:bookmarkEnd w:id="154"/>
      <w:bookmarkEnd w:id="155"/>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危险是指可能造成人员伤害、职业病、财产损失、作业环境破坏的根源或状态。危害是指特定危险事件发生的可能性与后果的结合。危害因素是指能对人造成伤亡或对物造成突发性损坏的因素，强调突发性和瞬间作用。从其产生的各类及形式看，主要有火灾、爆炸、中毒、窒息、电气事故等各类因素。</w:t>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有害因素是指能影响人的身体健康，导致疾病，或对物造成慢性损坏的因素，强调在一定范围内的积累作用。主要有生产性粉尘、毒物、噪声与振动、辐射、高温、低温等。</w:t>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能量，有害物质的存在是危险，有害因素的产生根源，系统具有的能量越大，存在的有害物质的数量越多，系统的潜在危险性和危害性也越大。能量，有害物质的失控是危险，有害因素产生的条件，失控主要体现在设备故障，人为失误，管理缺陷，环境因素四个方面。</w:t>
      </w:r>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本评价报告通过对该企业有关资料的分析，确定本企业的主要危险有害因素的种类，分布及可能产生的方式和途径。</w:t>
      </w:r>
    </w:p>
    <w:p>
      <w:pPr>
        <w:pStyle w:val="7"/>
        <w:pageBreakBefore w:val="0"/>
        <w:widowControl w:val="0"/>
        <w:kinsoku/>
        <w:wordWrap/>
        <w:overflowPunct/>
        <w:topLinePunct w:val="0"/>
        <w:bidi w:val="0"/>
        <w:adjustRightInd/>
        <w:snapToGrid/>
        <w:spacing w:line="600" w:lineRule="exact"/>
        <w:textAlignment w:val="auto"/>
        <w:rPr>
          <w:rFonts w:hint="eastAsia" w:ascii="宋体" w:hAnsi="宋体" w:eastAsia="宋体" w:cs="宋体"/>
          <w:color w:val="auto"/>
          <w:sz w:val="30"/>
          <w:szCs w:val="30"/>
        </w:rPr>
      </w:pPr>
      <w:bookmarkStart w:id="156" w:name="_Toc204429141"/>
      <w:bookmarkStart w:id="157" w:name="_Toc525109148"/>
      <w:bookmarkStart w:id="158" w:name="_Toc16376"/>
      <w:bookmarkStart w:id="159" w:name="_Toc7417"/>
      <w:bookmarkStart w:id="160" w:name="_Toc3366"/>
      <w:r>
        <w:rPr>
          <w:rFonts w:hint="eastAsia" w:ascii="宋体" w:hAnsi="宋体" w:eastAsia="宋体" w:cs="宋体"/>
          <w:color w:val="auto"/>
          <w:sz w:val="30"/>
          <w:szCs w:val="30"/>
        </w:rPr>
        <w:t>3.1物质的主要危险、有害特性</w:t>
      </w:r>
      <w:bookmarkEnd w:id="156"/>
      <w:bookmarkEnd w:id="157"/>
      <w:bookmarkEnd w:id="158"/>
      <w:bookmarkEnd w:id="159"/>
      <w:bookmarkEnd w:id="160"/>
    </w:p>
    <w:p>
      <w:pPr>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color w:val="auto"/>
          <w:szCs w:val="28"/>
        </w:rPr>
      </w:pPr>
      <w:bookmarkStart w:id="161" w:name="_Toc239869684"/>
      <w:r>
        <w:rPr>
          <w:rFonts w:hint="eastAsia" w:ascii="宋体" w:hAnsi="宋体" w:eastAsia="宋体" w:cs="宋体"/>
          <w:color w:val="auto"/>
          <w:szCs w:val="28"/>
        </w:rPr>
        <w:t>根据本项目工艺流程及生产过程中使用的物料，列入《危险化学品目录》（2015年版）的有：氨气、氨水</w:t>
      </w:r>
      <w:r>
        <w:rPr>
          <w:rFonts w:hint="eastAsia" w:ascii="宋体" w:hAnsi="宋体" w:eastAsia="宋体" w:cs="宋体"/>
          <w:color w:val="auto"/>
          <w:szCs w:val="28"/>
          <w:lang w:eastAsia="zh-CN"/>
        </w:rPr>
        <w:t>（</w:t>
      </w:r>
      <w:r>
        <w:rPr>
          <w:rFonts w:hint="eastAsia" w:ascii="宋体" w:hAnsi="宋体" w:eastAsia="宋体" w:cs="宋体"/>
          <w:color w:val="auto"/>
          <w:szCs w:val="28"/>
          <w:lang w:val="en-US" w:eastAsia="zh-CN"/>
        </w:rPr>
        <w:t>20%）</w:t>
      </w:r>
      <w:r>
        <w:rPr>
          <w:rFonts w:hint="eastAsia" w:ascii="宋体" w:hAnsi="宋体" w:eastAsia="宋体" w:cs="宋体"/>
          <w:color w:val="auto"/>
          <w:szCs w:val="28"/>
        </w:rPr>
        <w:t>。其理化特性如下：</w:t>
      </w:r>
    </w:p>
    <w:p>
      <w:pPr>
        <w:rPr>
          <w:rStyle w:val="40"/>
          <w:rFonts w:hint="eastAsia" w:ascii="宋体" w:hAnsi="宋体" w:eastAsia="宋体" w:cs="宋体"/>
          <w:bCs/>
          <w:color w:val="auto"/>
        </w:rPr>
      </w:pPr>
      <w:r>
        <w:rPr>
          <w:rStyle w:val="40"/>
          <w:rFonts w:hint="eastAsia" w:ascii="宋体" w:hAnsi="宋体" w:eastAsia="宋体" w:cs="宋体"/>
          <w:bCs/>
          <w:color w:val="auto"/>
        </w:rPr>
        <w:br w:type="page"/>
      </w:r>
    </w:p>
    <w:p>
      <w:pPr>
        <w:pageBreakBefore w:val="0"/>
        <w:widowControl w:val="0"/>
        <w:kinsoku/>
        <w:wordWrap/>
        <w:overflowPunct/>
        <w:topLinePunct w:val="0"/>
        <w:bidi w:val="0"/>
        <w:adjustRightInd/>
        <w:snapToGrid/>
        <w:spacing w:line="600" w:lineRule="exact"/>
        <w:ind w:firstLine="504" w:firstLineChars="200"/>
        <w:jc w:val="center"/>
        <w:textAlignment w:val="auto"/>
        <w:rPr>
          <w:rStyle w:val="40"/>
          <w:rFonts w:hint="eastAsia" w:ascii="宋体" w:hAnsi="宋体" w:eastAsia="宋体" w:cs="宋体"/>
          <w:snapToGrid/>
          <w:color w:val="auto"/>
          <w:spacing w:val="0"/>
          <w:kern w:val="2"/>
        </w:rPr>
      </w:pPr>
      <w:r>
        <w:rPr>
          <w:rStyle w:val="40"/>
          <w:rFonts w:hint="eastAsia" w:ascii="宋体" w:hAnsi="宋体" w:eastAsia="宋体" w:cs="宋体"/>
          <w:bCs/>
          <w:color w:val="auto"/>
        </w:rPr>
        <w:t>表3.1-1 危险化学品理化性质情况</w:t>
      </w:r>
    </w:p>
    <w:tbl>
      <w:tblPr>
        <w:tblStyle w:val="28"/>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138"/>
        <w:gridCol w:w="1652"/>
        <w:gridCol w:w="1017"/>
        <w:gridCol w:w="747"/>
        <w:gridCol w:w="985"/>
        <w:gridCol w:w="824"/>
        <w:gridCol w:w="1180"/>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序号</w:t>
            </w:r>
          </w:p>
        </w:tc>
        <w:tc>
          <w:tcPr>
            <w:tcW w:w="1138"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名称</w:t>
            </w:r>
          </w:p>
        </w:tc>
        <w:tc>
          <w:tcPr>
            <w:tcW w:w="1652"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CAS号</w:t>
            </w:r>
          </w:p>
        </w:tc>
        <w:tc>
          <w:tcPr>
            <w:tcW w:w="1017"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闪点℃</w:t>
            </w:r>
          </w:p>
        </w:tc>
        <w:tc>
          <w:tcPr>
            <w:tcW w:w="747"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燃烧性</w:t>
            </w:r>
          </w:p>
        </w:tc>
        <w:tc>
          <w:tcPr>
            <w:tcW w:w="985"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爆炸极</w:t>
            </w:r>
          </w:p>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限℅</w:t>
            </w:r>
          </w:p>
        </w:tc>
        <w:tc>
          <w:tcPr>
            <w:tcW w:w="824"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火灾</w:t>
            </w:r>
          </w:p>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类别</w:t>
            </w:r>
          </w:p>
        </w:tc>
        <w:tc>
          <w:tcPr>
            <w:tcW w:w="1180"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相对密度</w:t>
            </w:r>
          </w:p>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(空气＝1/水＝1)</w:t>
            </w:r>
          </w:p>
        </w:tc>
        <w:tc>
          <w:tcPr>
            <w:tcW w:w="1178"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w:t>
            </w:r>
          </w:p>
        </w:tc>
        <w:tc>
          <w:tcPr>
            <w:tcW w:w="1138"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color w:val="auto"/>
                <w:kern w:val="0"/>
                <w:sz w:val="20"/>
                <w:szCs w:val="20"/>
              </w:rPr>
              <w:t>氨气</w:t>
            </w:r>
          </w:p>
        </w:tc>
        <w:tc>
          <w:tcPr>
            <w:tcW w:w="1652" w:type="dxa"/>
            <w:vAlign w:val="center"/>
          </w:tcPr>
          <w:p>
            <w:pPr>
              <w:spacing w:line="280" w:lineRule="exact"/>
              <w:jc w:val="center"/>
              <w:rPr>
                <w:rFonts w:hint="eastAsia" w:ascii="宋体" w:hAnsi="宋体" w:eastAsia="宋体" w:cs="宋体"/>
                <w:bCs/>
                <w:color w:val="auto"/>
                <w:kern w:val="0"/>
                <w:sz w:val="21"/>
                <w:szCs w:val="21"/>
              </w:rPr>
            </w:pPr>
            <w:r>
              <w:rPr>
                <w:rFonts w:hint="eastAsia" w:ascii="宋体" w:hAnsi="宋体" w:eastAsia="宋体" w:cs="宋体"/>
                <w:color w:val="auto"/>
                <w:kern w:val="0"/>
                <w:sz w:val="20"/>
                <w:szCs w:val="20"/>
              </w:rPr>
              <w:t>7664-41-7</w:t>
            </w:r>
          </w:p>
        </w:tc>
        <w:tc>
          <w:tcPr>
            <w:tcW w:w="1017"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无意义</w:t>
            </w:r>
          </w:p>
        </w:tc>
        <w:tc>
          <w:tcPr>
            <w:tcW w:w="747"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易燃</w:t>
            </w:r>
          </w:p>
        </w:tc>
        <w:tc>
          <w:tcPr>
            <w:tcW w:w="985"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15.7-27.4</w:t>
            </w:r>
          </w:p>
        </w:tc>
        <w:tc>
          <w:tcPr>
            <w:tcW w:w="824" w:type="dxa"/>
            <w:vAlign w:val="center"/>
          </w:tcPr>
          <w:p>
            <w:pPr>
              <w:spacing w:line="280" w:lineRule="exact"/>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乙</w:t>
            </w:r>
          </w:p>
        </w:tc>
        <w:tc>
          <w:tcPr>
            <w:tcW w:w="1180"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0.6</w:t>
            </w:r>
          </w:p>
        </w:tc>
        <w:tc>
          <w:tcPr>
            <w:tcW w:w="1178" w:type="dxa"/>
            <w:vAlign w:val="center"/>
          </w:tcPr>
          <w:p>
            <w:pPr>
              <w:widowControl/>
              <w:spacing w:line="320" w:lineRule="exact"/>
              <w:rPr>
                <w:rFonts w:hint="eastAsia" w:ascii="宋体" w:hAnsi="宋体" w:eastAsia="宋体" w:cs="宋体"/>
                <w:bCs/>
                <w:color w:val="auto"/>
                <w:sz w:val="21"/>
                <w:szCs w:val="21"/>
              </w:rPr>
            </w:pPr>
            <w:r>
              <w:rPr>
                <w:rFonts w:hint="eastAsia" w:ascii="宋体" w:hAnsi="宋体" w:eastAsia="宋体" w:cs="宋体"/>
                <w:color w:val="auto"/>
                <w:kern w:val="0"/>
                <w:sz w:val="20"/>
                <w:szCs w:val="20"/>
              </w:rPr>
              <w:t>易燃气体,类别2加压气体急性毒性-吸入,类别3*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vAlign w:val="center"/>
          </w:tcPr>
          <w:p>
            <w:pPr>
              <w:spacing w:line="280" w:lineRule="exact"/>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2</w:t>
            </w:r>
          </w:p>
        </w:tc>
        <w:tc>
          <w:tcPr>
            <w:tcW w:w="1138" w:type="dxa"/>
            <w:vAlign w:val="center"/>
          </w:tcPr>
          <w:p>
            <w:pPr>
              <w:spacing w:line="280" w:lineRule="exact"/>
              <w:jc w:val="center"/>
              <w:rPr>
                <w:rFonts w:hint="eastAsia" w:ascii="宋体" w:hAnsi="宋体" w:eastAsia="宋体" w:cs="宋体"/>
                <w:bCs/>
                <w:color w:val="auto"/>
                <w:sz w:val="21"/>
                <w:szCs w:val="21"/>
                <w:lang w:val="en-US" w:eastAsia="zh-CN"/>
              </w:rPr>
            </w:pPr>
            <w:r>
              <w:rPr>
                <w:rFonts w:hint="eastAsia" w:ascii="宋体" w:hAnsi="宋体" w:eastAsia="宋体" w:cs="宋体"/>
                <w:color w:val="auto"/>
                <w:kern w:val="0"/>
                <w:sz w:val="20"/>
                <w:szCs w:val="20"/>
              </w:rPr>
              <w:t>氨水</w:t>
            </w:r>
            <w:r>
              <w:rPr>
                <w:rFonts w:hint="eastAsia" w:ascii="宋体" w:hAnsi="宋体" w:eastAsia="宋体" w:cs="宋体"/>
                <w:color w:val="auto"/>
                <w:kern w:val="0"/>
                <w:sz w:val="20"/>
                <w:szCs w:val="20"/>
                <w:lang w:eastAsia="zh-CN"/>
              </w:rPr>
              <w:t>（</w:t>
            </w:r>
            <w:r>
              <w:rPr>
                <w:rFonts w:hint="eastAsia" w:ascii="宋体" w:hAnsi="宋体" w:eastAsia="宋体" w:cs="宋体"/>
                <w:color w:val="auto"/>
                <w:kern w:val="0"/>
                <w:sz w:val="20"/>
                <w:szCs w:val="20"/>
                <w:lang w:eastAsia="zh-CN"/>
              </w:rPr>
              <w:t>≤</w:t>
            </w:r>
            <w:r>
              <w:rPr>
                <w:rFonts w:hint="eastAsia" w:ascii="宋体" w:hAnsi="宋体" w:eastAsia="宋体" w:cs="宋体"/>
                <w:color w:val="auto"/>
                <w:kern w:val="0"/>
                <w:sz w:val="20"/>
                <w:szCs w:val="20"/>
                <w:lang w:val="en-US" w:eastAsia="zh-CN"/>
              </w:rPr>
              <w:t>20%）</w:t>
            </w:r>
          </w:p>
        </w:tc>
        <w:tc>
          <w:tcPr>
            <w:tcW w:w="1652"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color w:val="auto"/>
                <w:kern w:val="0"/>
                <w:sz w:val="20"/>
                <w:szCs w:val="20"/>
              </w:rPr>
              <w:t>1336-21-6</w:t>
            </w:r>
          </w:p>
        </w:tc>
        <w:tc>
          <w:tcPr>
            <w:tcW w:w="1017"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无意义</w:t>
            </w:r>
          </w:p>
        </w:tc>
        <w:tc>
          <w:tcPr>
            <w:tcW w:w="747"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不燃</w:t>
            </w:r>
          </w:p>
        </w:tc>
        <w:tc>
          <w:tcPr>
            <w:tcW w:w="985"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无意义</w:t>
            </w:r>
          </w:p>
        </w:tc>
        <w:tc>
          <w:tcPr>
            <w:tcW w:w="824" w:type="dxa"/>
            <w:vAlign w:val="center"/>
          </w:tcPr>
          <w:p>
            <w:pPr>
              <w:spacing w:line="280" w:lineRule="exact"/>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丙</w:t>
            </w:r>
          </w:p>
        </w:tc>
        <w:tc>
          <w:tcPr>
            <w:tcW w:w="1180" w:type="dxa"/>
            <w:vAlign w:val="center"/>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0.91</w:t>
            </w:r>
          </w:p>
        </w:tc>
        <w:tc>
          <w:tcPr>
            <w:tcW w:w="1178" w:type="dxa"/>
            <w:vAlign w:val="center"/>
          </w:tcPr>
          <w:p>
            <w:pPr>
              <w:widowControl/>
              <w:spacing w:line="360" w:lineRule="exact"/>
              <w:rPr>
                <w:rFonts w:hint="eastAsia" w:ascii="宋体" w:hAnsi="宋体" w:eastAsia="宋体" w:cs="宋体"/>
                <w:bCs/>
                <w:color w:val="auto"/>
                <w:sz w:val="21"/>
                <w:szCs w:val="21"/>
              </w:rPr>
            </w:pPr>
            <w:r>
              <w:rPr>
                <w:rFonts w:hint="eastAsia" w:ascii="宋体" w:hAnsi="宋体" w:eastAsia="宋体" w:cs="宋体"/>
                <w:color w:val="auto"/>
                <w:kern w:val="0"/>
                <w:sz w:val="20"/>
                <w:szCs w:val="20"/>
              </w:rPr>
              <w:t>皮肤腐蚀/刺激,类别1B严重眼损伤/眼刺激,类别1</w:t>
            </w:r>
          </w:p>
        </w:tc>
      </w:tr>
      <w:bookmarkEnd w:id="161"/>
    </w:tbl>
    <w:p>
      <w:pPr>
        <w:pStyle w:val="7"/>
        <w:pageBreakBefore w:val="0"/>
        <w:widowControl w:val="0"/>
        <w:kinsoku/>
        <w:wordWrap/>
        <w:overflowPunct/>
        <w:topLinePunct w:val="0"/>
        <w:bidi w:val="0"/>
        <w:adjustRightInd/>
        <w:snapToGrid/>
        <w:spacing w:line="600" w:lineRule="exact"/>
        <w:textAlignment w:val="auto"/>
        <w:rPr>
          <w:rFonts w:hint="eastAsia" w:ascii="宋体" w:hAnsi="宋体" w:eastAsia="宋体" w:cs="宋体"/>
          <w:color w:val="auto"/>
          <w:sz w:val="30"/>
          <w:szCs w:val="30"/>
        </w:rPr>
      </w:pPr>
      <w:bookmarkStart w:id="162" w:name="_Toc193531440"/>
      <w:bookmarkStart w:id="163" w:name="_Toc26301"/>
      <w:bookmarkStart w:id="164" w:name="_Toc204429142"/>
      <w:bookmarkStart w:id="165" w:name="_Toc525109149"/>
      <w:bookmarkStart w:id="166" w:name="_Toc2629"/>
      <w:bookmarkStart w:id="167" w:name="_Toc20952"/>
      <w:r>
        <w:rPr>
          <w:rFonts w:hint="eastAsia" w:ascii="宋体" w:hAnsi="宋体" w:eastAsia="宋体" w:cs="宋体"/>
          <w:color w:val="auto"/>
          <w:sz w:val="30"/>
          <w:szCs w:val="30"/>
        </w:rPr>
        <w:t>3.2重大危险源辨识</w:t>
      </w:r>
      <w:bookmarkEnd w:id="162"/>
      <w:bookmarkEnd w:id="163"/>
      <w:bookmarkEnd w:id="164"/>
      <w:bookmarkEnd w:id="165"/>
      <w:bookmarkEnd w:id="166"/>
      <w:bookmarkEnd w:id="167"/>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szCs w:val="28"/>
        </w:rPr>
      </w:pPr>
      <w:r>
        <w:rPr>
          <w:rFonts w:hint="eastAsia" w:ascii="宋体" w:hAnsi="宋体" w:eastAsia="宋体" w:cs="宋体"/>
          <w:color w:val="auto"/>
          <w:szCs w:val="28"/>
        </w:rPr>
        <w:t>辨识或确认重大危险源，是防止重大工业事故发生的第一步。其目的不仅是预防重大事故发生，而且要做到一旦发生事故，能将事故危害限制到最低程度。</w:t>
      </w:r>
    </w:p>
    <w:p>
      <w:pPr>
        <w:pageBreakBefore w:val="0"/>
        <w:widowControl w:val="0"/>
        <w:kinsoku/>
        <w:wordWrap/>
        <w:overflowPunct/>
        <w:topLinePunct w:val="0"/>
        <w:autoSpaceDE w:val="0"/>
        <w:autoSpaceDN w:val="0"/>
        <w:bidi w:val="0"/>
        <w:adjustRightInd/>
        <w:snapToGrid/>
        <w:spacing w:line="600" w:lineRule="exact"/>
        <w:jc w:val="left"/>
        <w:textAlignment w:val="auto"/>
        <w:outlineLvl w:val="2"/>
        <w:rPr>
          <w:rFonts w:hint="eastAsia" w:ascii="宋体" w:hAnsi="宋体" w:eastAsia="宋体" w:cs="宋体"/>
          <w:b/>
          <w:bCs/>
          <w:color w:val="auto"/>
          <w:szCs w:val="28"/>
        </w:rPr>
      </w:pPr>
      <w:bookmarkStart w:id="168" w:name="_Toc116900103"/>
      <w:r>
        <w:rPr>
          <w:rFonts w:hint="eastAsia" w:ascii="宋体" w:hAnsi="宋体" w:eastAsia="宋体" w:cs="宋体"/>
          <w:b/>
          <w:bCs/>
          <w:color w:val="auto"/>
          <w:szCs w:val="28"/>
        </w:rPr>
        <w:t>3.2.1重大危险源</w:t>
      </w:r>
      <w:bookmarkEnd w:id="168"/>
      <w:r>
        <w:rPr>
          <w:rFonts w:hint="eastAsia" w:ascii="宋体" w:hAnsi="宋体" w:eastAsia="宋体" w:cs="宋体"/>
          <w:b/>
          <w:bCs/>
          <w:color w:val="auto"/>
          <w:szCs w:val="28"/>
        </w:rPr>
        <w:t>辨识及分级依据</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lang w:val="zh-CN"/>
        </w:rPr>
      </w:pPr>
      <w:bookmarkStart w:id="169" w:name="_Toc12978633"/>
      <w:r>
        <w:rPr>
          <w:rFonts w:hint="eastAsia" w:ascii="宋体" w:hAnsi="宋体" w:eastAsia="宋体" w:cs="宋体"/>
          <w:color w:val="auto"/>
          <w:kern w:val="0"/>
          <w:szCs w:val="28"/>
        </w:rPr>
        <w:t xml:space="preserve">1 </w:t>
      </w:r>
      <w:r>
        <w:rPr>
          <w:rFonts w:hint="eastAsia" w:ascii="宋体" w:hAnsi="宋体" w:eastAsia="宋体" w:cs="宋体"/>
          <w:color w:val="auto"/>
          <w:kern w:val="0"/>
          <w:szCs w:val="28"/>
          <w:lang w:val="zh-CN"/>
        </w:rPr>
        <w:t>基本规定</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lang w:val="zh-CN"/>
        </w:rPr>
      </w:pPr>
      <w:r>
        <w:rPr>
          <w:rFonts w:hint="eastAsia" w:ascii="宋体" w:hAnsi="宋体" w:eastAsia="宋体" w:cs="宋体"/>
          <w:color w:val="auto"/>
          <w:kern w:val="0"/>
          <w:szCs w:val="28"/>
          <w:lang w:val="zh-CN"/>
        </w:rPr>
        <w:t>《危险化学品重大危险源辨识》（GB18218-2018）规定：</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lang w:val="zh-CN"/>
        </w:rPr>
      </w:pPr>
      <w:r>
        <w:rPr>
          <w:rFonts w:hint="eastAsia" w:ascii="宋体" w:hAnsi="宋体" w:eastAsia="宋体" w:cs="宋体"/>
          <w:color w:val="auto"/>
          <w:kern w:val="0"/>
          <w:szCs w:val="28"/>
          <w:lang w:val="zh-CN"/>
        </w:rPr>
        <w:t>单元：涉及危险化学品生产、储存装置、设施或场所。分为生产单元和储存单元。</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rPr>
      </w:pPr>
      <w:r>
        <w:rPr>
          <w:rFonts w:hint="eastAsia" w:ascii="宋体" w:hAnsi="宋体" w:eastAsia="宋体" w:cs="宋体"/>
          <w:color w:val="auto"/>
          <w:kern w:val="0"/>
          <w:szCs w:val="28"/>
        </w:rPr>
        <w:t>生产单元：</w:t>
      </w:r>
      <w:r>
        <w:rPr>
          <w:rFonts w:hint="eastAsia" w:ascii="宋体" w:hAnsi="宋体" w:eastAsia="宋体" w:cs="宋体"/>
          <w:color w:val="auto"/>
          <w:kern w:val="0"/>
          <w:szCs w:val="28"/>
          <w:lang w:val="zh-CN"/>
        </w:rPr>
        <w:t>危险化学品的生产、加工及使用等的装置及设施，当装置及设施之间有切断阀时，以切断阀作为分隔界限划分为独立的单元。</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lang w:val="zh-CN"/>
        </w:rPr>
      </w:pPr>
      <w:r>
        <w:rPr>
          <w:rFonts w:hint="eastAsia" w:ascii="宋体" w:hAnsi="宋体" w:eastAsia="宋体" w:cs="宋体"/>
          <w:color w:val="auto"/>
          <w:kern w:val="0"/>
          <w:szCs w:val="28"/>
          <w:lang w:val="zh-CN"/>
        </w:rPr>
        <w:t>储存单元：用于储存危险化学品的储罐或仓库组成的相对独立的区域，储罐区以罐区防火堤为界限划分为独立的单元，仓库以独立库房(独立建筑物〉为界限划分为独立的单元。</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lang w:val="zh-CN"/>
        </w:rPr>
      </w:pPr>
      <w:r>
        <w:rPr>
          <w:rFonts w:hint="eastAsia" w:ascii="宋体" w:hAnsi="宋体" w:eastAsia="宋体" w:cs="宋体"/>
          <w:color w:val="auto"/>
          <w:kern w:val="0"/>
          <w:szCs w:val="28"/>
          <w:lang w:val="zh-CN"/>
        </w:rPr>
        <w:t>临界量：某种或某类危险化学品构成重大危险源所规定的最小数量。</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lang w:val="zh-CN"/>
        </w:rPr>
      </w:pPr>
      <w:r>
        <w:rPr>
          <w:rFonts w:hint="eastAsia" w:ascii="宋体" w:hAnsi="宋体" w:eastAsia="宋体" w:cs="宋体"/>
          <w:color w:val="auto"/>
          <w:kern w:val="0"/>
          <w:szCs w:val="28"/>
          <w:lang w:val="zh-CN"/>
        </w:rPr>
        <w:t>危险化学品重大危险源：长期地或临时地生产、储存、使用和经营危险化学品，且危险化学品的数量等于或超过临界量的单元。</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lang w:val="zh-CN"/>
        </w:rPr>
      </w:pPr>
      <w:r>
        <w:rPr>
          <w:rFonts w:hint="eastAsia" w:ascii="宋体" w:hAnsi="宋体" w:eastAsia="宋体" w:cs="宋体"/>
          <w:color w:val="auto"/>
          <w:kern w:val="0"/>
          <w:szCs w:val="28"/>
          <w:lang w:val="zh-CN"/>
        </w:rPr>
        <w:t>混合物：由两种或者多种物质组成的混合体或者溶液。</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lang w:val="zh-CN"/>
        </w:rPr>
      </w:pPr>
      <w:r>
        <w:rPr>
          <w:rFonts w:hint="eastAsia" w:ascii="宋体" w:hAnsi="宋体" w:eastAsia="宋体" w:cs="宋体"/>
          <w:color w:val="auto"/>
          <w:kern w:val="0"/>
          <w:szCs w:val="28"/>
          <w:lang w:val="zh-CN"/>
        </w:rPr>
        <w:t>生产单元、储存单元内存在的危险化学品为多品种时，则按下式计算，若满足下面公式，则为重大危险源：</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lang w:val="zh-CN"/>
        </w:rPr>
      </w:pPr>
      <w:r>
        <w:rPr>
          <w:rFonts w:hint="eastAsia" w:ascii="宋体" w:hAnsi="宋体" w:eastAsia="宋体" w:cs="宋体"/>
          <w:color w:val="auto"/>
          <w:kern w:val="0"/>
          <w:szCs w:val="28"/>
          <w:lang w:val="zh-CN"/>
        </w:rPr>
        <w:t>S＝q1/Q1＋q2/Q2＋…＋qn/Qn≥1</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lang w:val="zh-CN"/>
        </w:rPr>
      </w:pPr>
      <w:r>
        <w:rPr>
          <w:rFonts w:hint="eastAsia" w:ascii="宋体" w:hAnsi="宋体" w:eastAsia="宋体" w:cs="宋体"/>
          <w:color w:val="auto"/>
          <w:kern w:val="0"/>
          <w:szCs w:val="28"/>
          <w:lang w:val="zh-CN"/>
        </w:rPr>
        <w:t>式中：S－辨识指标；</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lang w:val="zh-CN"/>
        </w:rPr>
      </w:pPr>
      <w:r>
        <w:rPr>
          <w:rFonts w:hint="eastAsia" w:ascii="宋体" w:hAnsi="宋体" w:eastAsia="宋体" w:cs="宋体"/>
          <w:color w:val="auto"/>
          <w:kern w:val="0"/>
          <w:szCs w:val="28"/>
          <w:lang w:val="zh-CN"/>
        </w:rPr>
        <w:t>q1,q2 , …qn －每种危险化学品实际存在量，t；</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lang w:val="zh-CN"/>
        </w:rPr>
      </w:pPr>
      <w:r>
        <w:rPr>
          <w:rFonts w:hint="eastAsia" w:ascii="宋体" w:hAnsi="宋体" w:eastAsia="宋体" w:cs="宋体"/>
          <w:color w:val="auto"/>
          <w:kern w:val="0"/>
          <w:szCs w:val="28"/>
          <w:lang w:val="zh-CN"/>
        </w:rPr>
        <w:t>Q1,Q2…Qn－与每种危险化学品相对应的临界量，t。</w:t>
      </w:r>
    </w:p>
    <w:p>
      <w:pPr>
        <w:pageBreakBefore w:val="0"/>
        <w:widowControl w:val="0"/>
        <w:kinsoku/>
        <w:wordWrap/>
        <w:overflowPunct/>
        <w:topLinePunct w:val="0"/>
        <w:autoSpaceDE w:val="0"/>
        <w:autoSpaceDN w:val="0"/>
        <w:bidi w:val="0"/>
        <w:adjustRightInd/>
        <w:snapToGrid/>
        <w:spacing w:line="600" w:lineRule="exact"/>
        <w:ind w:firstLine="560" w:firstLineChars="200"/>
        <w:jc w:val="left"/>
        <w:textAlignment w:val="auto"/>
        <w:rPr>
          <w:rFonts w:hint="eastAsia" w:ascii="宋体" w:hAnsi="宋体" w:eastAsia="宋体" w:cs="宋体"/>
          <w:color w:val="auto"/>
          <w:kern w:val="0"/>
          <w:szCs w:val="28"/>
          <w:lang w:val="zh-CN"/>
        </w:rPr>
      </w:pPr>
      <w:r>
        <w:rPr>
          <w:rFonts w:hint="eastAsia" w:ascii="宋体" w:hAnsi="宋体" w:eastAsia="宋体" w:cs="宋体"/>
          <w:color w:val="auto"/>
          <w:kern w:val="0"/>
          <w:szCs w:val="28"/>
          <w:lang w:val="zh-CN"/>
        </w:rPr>
        <w:t>危险化学品储罐以及其他容器、设备或仓储区的危险化学品实际存在量按最大设计量确定。</w:t>
      </w:r>
    </w:p>
    <w:p>
      <w:pPr>
        <w:pStyle w:val="8"/>
        <w:pageBreakBefore w:val="0"/>
        <w:widowControl w:val="0"/>
        <w:kinsoku/>
        <w:wordWrap/>
        <w:overflowPunct/>
        <w:topLinePunct w:val="0"/>
        <w:bidi w:val="0"/>
        <w:adjustRightInd/>
        <w:snapToGrid/>
        <w:spacing w:line="600" w:lineRule="exact"/>
        <w:jc w:val="both"/>
        <w:textAlignment w:val="auto"/>
        <w:rPr>
          <w:rFonts w:hint="eastAsia" w:ascii="宋体" w:hAnsi="宋体" w:eastAsia="宋体" w:cs="宋体"/>
          <w:color w:val="auto"/>
          <w:kern w:val="0"/>
          <w:szCs w:val="28"/>
          <w:lang w:val="zh-CN"/>
        </w:rPr>
      </w:pPr>
      <w:r>
        <w:rPr>
          <w:rFonts w:hint="eastAsia" w:ascii="宋体" w:hAnsi="宋体" w:eastAsia="宋体" w:cs="宋体"/>
          <w:color w:val="auto"/>
          <w:kern w:val="0"/>
          <w:szCs w:val="28"/>
          <w:lang w:val="zh-CN"/>
        </w:rPr>
        <w:t>3.</w:t>
      </w:r>
      <w:r>
        <w:rPr>
          <w:rFonts w:hint="eastAsia" w:ascii="宋体" w:hAnsi="宋体" w:eastAsia="宋体" w:cs="宋体"/>
          <w:color w:val="auto"/>
          <w:kern w:val="0"/>
          <w:szCs w:val="28"/>
        </w:rPr>
        <w:t>2</w:t>
      </w:r>
      <w:r>
        <w:rPr>
          <w:rFonts w:hint="eastAsia" w:ascii="宋体" w:hAnsi="宋体" w:eastAsia="宋体" w:cs="宋体"/>
          <w:color w:val="auto"/>
          <w:kern w:val="0"/>
          <w:szCs w:val="28"/>
          <w:lang w:val="zh-CN"/>
        </w:rPr>
        <w:t>.2 重大危险源辨识情况</w:t>
      </w:r>
      <w:bookmarkEnd w:id="169"/>
    </w:p>
    <w:p>
      <w:pPr>
        <w:pageBreakBefore w:val="0"/>
        <w:widowControl w:val="0"/>
        <w:kinsoku/>
        <w:wordWrap/>
        <w:overflowPunct/>
        <w:topLinePunct w:val="0"/>
        <w:autoSpaceDE w:val="0"/>
        <w:autoSpaceDN w:val="0"/>
        <w:bidi w:val="0"/>
        <w:adjustRightInd/>
        <w:snapToGrid/>
        <w:spacing w:line="600" w:lineRule="exact"/>
        <w:ind w:firstLine="548" w:firstLineChars="196"/>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根据《危险化学品重大危险源辨识》GB18218-2018，</w:t>
      </w:r>
      <w:r>
        <w:rPr>
          <w:rFonts w:hint="eastAsia" w:ascii="宋体" w:hAnsi="宋体" w:eastAsia="宋体" w:cs="宋体"/>
          <w:color w:val="auto"/>
          <w:szCs w:val="28"/>
        </w:rPr>
        <w:t>该项目涉及的氨</w:t>
      </w:r>
      <w:r>
        <w:rPr>
          <w:rFonts w:hint="eastAsia" w:ascii="宋体" w:hAnsi="宋体" w:eastAsia="宋体" w:cs="宋体"/>
          <w:color w:val="auto"/>
          <w:szCs w:val="28"/>
          <w:lang w:val="zh-CN"/>
        </w:rPr>
        <w:t>气属于危险化学品重大危险源辨识范畴内的物质。</w:t>
      </w:r>
    </w:p>
    <w:p>
      <w:pPr>
        <w:pStyle w:val="4"/>
        <w:pageBreakBefore w:val="0"/>
        <w:widowControl w:val="0"/>
        <w:kinsoku/>
        <w:wordWrap/>
        <w:overflowPunct/>
        <w:topLinePunct w:val="0"/>
        <w:bidi w:val="0"/>
        <w:adjustRightInd/>
        <w:snapToGrid/>
        <w:spacing w:line="600" w:lineRule="exact"/>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zh-CN"/>
        </w:rPr>
        <w:t>本项目氨气仅为在线量，约为</w:t>
      </w:r>
      <w:r>
        <w:rPr>
          <w:rFonts w:hint="eastAsia" w:ascii="宋体" w:hAnsi="宋体" w:eastAsia="宋体" w:cs="宋体"/>
          <w:color w:val="auto"/>
          <w:sz w:val="28"/>
          <w:szCs w:val="28"/>
        </w:rPr>
        <w:t>0.1t</w:t>
      </w:r>
      <w:r>
        <w:rPr>
          <w:rFonts w:hint="eastAsia" w:ascii="宋体" w:hAnsi="宋体" w:eastAsia="宋体" w:cs="宋体"/>
          <w:color w:val="auto"/>
          <w:sz w:val="28"/>
          <w:szCs w:val="28"/>
          <w:lang w:val="zh-CN"/>
        </w:rPr>
        <w:t>。</w:t>
      </w:r>
    </w:p>
    <w:p>
      <w:pPr>
        <w:pageBreakBefore w:val="0"/>
        <w:widowControl w:val="0"/>
        <w:kinsoku/>
        <w:wordWrap/>
        <w:overflowPunct/>
        <w:topLinePunct w:val="0"/>
        <w:bidi w:val="0"/>
        <w:adjustRightInd/>
        <w:snapToGrid/>
        <w:spacing w:line="600" w:lineRule="exact"/>
        <w:jc w:val="center"/>
        <w:textAlignment w:val="auto"/>
        <w:rPr>
          <w:rFonts w:hint="eastAsia" w:ascii="宋体" w:hAnsi="宋体" w:eastAsia="宋体" w:cs="宋体"/>
          <w:color w:val="auto"/>
          <w:szCs w:val="28"/>
        </w:rPr>
      </w:pPr>
      <w:r>
        <w:rPr>
          <w:rFonts w:hint="eastAsia" w:ascii="宋体" w:hAnsi="宋体" w:eastAsia="宋体" w:cs="宋体"/>
          <w:color w:val="auto"/>
          <w:szCs w:val="28"/>
        </w:rPr>
        <w:t>该项目危险化学品重大危险源辨识过程见下表3.3-1。</w:t>
      </w:r>
    </w:p>
    <w:p>
      <w:pPr>
        <w:pageBreakBefore w:val="0"/>
        <w:widowControl w:val="0"/>
        <w:kinsoku/>
        <w:wordWrap/>
        <w:overflowPunct/>
        <w:topLinePunct w:val="0"/>
        <w:bidi w:val="0"/>
        <w:adjustRightInd/>
        <w:snapToGrid/>
        <w:spacing w:line="600" w:lineRule="exact"/>
        <w:jc w:val="center"/>
        <w:textAlignment w:val="auto"/>
        <w:rPr>
          <w:rFonts w:hint="eastAsia" w:ascii="宋体" w:hAnsi="宋体" w:eastAsia="宋体" w:cs="宋体"/>
          <w:b/>
          <w:bCs/>
          <w:color w:val="auto"/>
          <w:sz w:val="24"/>
        </w:rPr>
      </w:pPr>
      <w:r>
        <w:rPr>
          <w:rFonts w:hint="eastAsia" w:ascii="宋体" w:hAnsi="宋体" w:eastAsia="宋体" w:cs="宋体"/>
          <w:b/>
          <w:bCs/>
          <w:color w:val="auto"/>
          <w:sz w:val="24"/>
        </w:rPr>
        <w:t>表3.3-1  危险化学品重大危险源辨识</w:t>
      </w:r>
    </w:p>
    <w:tbl>
      <w:tblPr>
        <w:tblStyle w:val="28"/>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331"/>
        <w:gridCol w:w="1590"/>
        <w:gridCol w:w="1298"/>
        <w:gridCol w:w="1300"/>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331"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物质名称</w:t>
            </w:r>
          </w:p>
        </w:tc>
        <w:tc>
          <w:tcPr>
            <w:tcW w:w="1590"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辨识单元</w:t>
            </w:r>
          </w:p>
        </w:tc>
        <w:tc>
          <w:tcPr>
            <w:tcW w:w="1298"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储存量</w:t>
            </w:r>
          </w:p>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(t)</w:t>
            </w:r>
          </w:p>
        </w:tc>
        <w:tc>
          <w:tcPr>
            <w:tcW w:w="1300"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临界量</w:t>
            </w:r>
          </w:p>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(t)</w:t>
            </w:r>
          </w:p>
        </w:tc>
        <w:tc>
          <w:tcPr>
            <w:tcW w:w="2903"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辨识结果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31"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氨气（表1）</w:t>
            </w:r>
          </w:p>
        </w:tc>
        <w:tc>
          <w:tcPr>
            <w:tcW w:w="1590" w:type="dxa"/>
            <w:vAlign w:val="center"/>
          </w:tcPr>
          <w:p>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生产单元（管道）</w:t>
            </w:r>
          </w:p>
        </w:tc>
        <w:tc>
          <w:tcPr>
            <w:tcW w:w="1298"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0.1</w:t>
            </w:r>
          </w:p>
        </w:tc>
        <w:tc>
          <w:tcPr>
            <w:tcW w:w="1300"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903"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∑qi/Qi＝0.01＜1</w:t>
            </w:r>
          </w:p>
        </w:tc>
      </w:tr>
    </w:tbl>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由表可知，该项目生产单元</w:t>
      </w:r>
      <w:bookmarkStart w:id="170" w:name="_Toc8983"/>
      <w:bookmarkStart w:id="171" w:name="_Toc12346"/>
      <w:bookmarkStart w:id="172" w:name="_Toc3774"/>
      <w:bookmarkStart w:id="173" w:name="_Toc11884"/>
      <w:bookmarkStart w:id="174" w:name="_Toc534390397"/>
      <w:r>
        <w:rPr>
          <w:rFonts w:hint="eastAsia" w:ascii="宋体" w:hAnsi="宋体" w:eastAsia="宋体" w:cs="宋体"/>
          <w:color w:val="auto"/>
          <w:szCs w:val="28"/>
        </w:rPr>
        <w:t>∑qi/Qi= q1/Q1 ＋q2/Q2 +……+qn/Qn＜1</w:t>
      </w:r>
      <w:bookmarkEnd w:id="170"/>
      <w:bookmarkEnd w:id="171"/>
      <w:bookmarkEnd w:id="172"/>
      <w:bookmarkEnd w:id="173"/>
      <w:bookmarkEnd w:id="174"/>
      <w:r>
        <w:rPr>
          <w:rFonts w:hint="eastAsia" w:ascii="宋体" w:hAnsi="宋体" w:eastAsia="宋体" w:cs="宋体"/>
          <w:color w:val="auto"/>
          <w:szCs w:val="28"/>
        </w:rPr>
        <w:t>，不构成危险化学品重大危险源。</w:t>
      </w:r>
    </w:p>
    <w:p>
      <w:pPr>
        <w:pStyle w:val="43"/>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rPr>
      </w:pPr>
      <w:r>
        <w:rPr>
          <w:rFonts w:hint="eastAsia" w:ascii="宋体" w:hAnsi="宋体" w:eastAsia="宋体" w:cs="宋体"/>
          <w:color w:val="auto"/>
        </w:rPr>
        <w:t>3.2.3重大危险源辨识结果</w:t>
      </w:r>
    </w:p>
    <w:p>
      <w:pPr>
        <w:pStyle w:val="14"/>
        <w:pageBreakBefore w:val="0"/>
        <w:widowControl w:val="0"/>
        <w:kinsoku/>
        <w:wordWrap/>
        <w:overflowPunct/>
        <w:topLinePunct w:val="0"/>
        <w:autoSpaceDE/>
        <w:autoSpaceDN/>
        <w:bidi w:val="0"/>
        <w:adjustRightInd/>
        <w:snapToGrid/>
        <w:spacing w:line="600" w:lineRule="exact"/>
        <w:ind w:firstLine="700" w:firstLineChars="250"/>
        <w:textAlignment w:val="auto"/>
        <w:rPr>
          <w:rFonts w:hint="eastAsia" w:ascii="宋体" w:hAnsi="宋体" w:eastAsia="宋体" w:cs="宋体"/>
          <w:color w:val="auto"/>
          <w:szCs w:val="28"/>
        </w:rPr>
      </w:pPr>
      <w:r>
        <w:rPr>
          <w:rFonts w:hint="eastAsia" w:ascii="宋体" w:hAnsi="宋体" w:eastAsia="宋体" w:cs="宋体"/>
          <w:color w:val="auto"/>
          <w:szCs w:val="28"/>
        </w:rPr>
        <w:t>该企业不构成危险化学品重大危险源。</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175" w:name="_Toc525109150"/>
      <w:bookmarkStart w:id="176" w:name="_Toc2058"/>
      <w:bookmarkStart w:id="177" w:name="_Toc4541"/>
      <w:bookmarkStart w:id="178" w:name="_Toc1869"/>
      <w:bookmarkStart w:id="179" w:name="_Toc193531443"/>
      <w:bookmarkStart w:id="180" w:name="_Toc204429149"/>
      <w:r>
        <w:rPr>
          <w:rFonts w:hint="eastAsia" w:ascii="宋体" w:hAnsi="宋体" w:eastAsia="宋体" w:cs="宋体"/>
          <w:color w:val="auto"/>
          <w:sz w:val="30"/>
          <w:szCs w:val="30"/>
        </w:rPr>
        <w:t>3.3危险化学品辨识</w:t>
      </w:r>
      <w:bookmarkEnd w:id="175"/>
      <w:bookmarkEnd w:id="176"/>
      <w:bookmarkEnd w:id="177"/>
      <w:bookmarkEnd w:id="178"/>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rPr>
      </w:pPr>
      <w:r>
        <w:rPr>
          <w:rFonts w:hint="eastAsia" w:ascii="宋体" w:hAnsi="宋体" w:eastAsia="宋体" w:cs="宋体"/>
          <w:b w:val="0"/>
          <w:color w:val="auto"/>
          <w:szCs w:val="28"/>
        </w:rPr>
        <w:t>3.3.1监控化学品辨识</w:t>
      </w:r>
    </w:p>
    <w:p>
      <w:pPr>
        <w:pStyle w:val="22"/>
        <w:pageBreakBefore w:val="0"/>
        <w:widowControl w:val="0"/>
        <w:kinsoku/>
        <w:wordWrap/>
        <w:overflowPunct/>
        <w:topLinePunct w:val="0"/>
        <w:autoSpaceDE/>
        <w:autoSpaceDN/>
        <w:bidi w:val="0"/>
        <w:adjustRightInd/>
        <w:snapToGrid/>
        <w:spacing w:line="600" w:lineRule="exact"/>
        <w:ind w:firstLine="480"/>
        <w:textAlignment w:val="auto"/>
        <w:rPr>
          <w:rFonts w:hint="eastAsia" w:ascii="宋体" w:hAnsi="宋体" w:eastAsia="宋体" w:cs="宋体"/>
          <w:color w:val="auto"/>
          <w:sz w:val="28"/>
          <w:szCs w:val="28"/>
        </w:rPr>
      </w:pPr>
      <w:bookmarkStart w:id="181" w:name="_Toc278143148"/>
      <w:r>
        <w:rPr>
          <w:rFonts w:hint="eastAsia" w:ascii="宋体" w:hAnsi="宋体" w:eastAsia="宋体" w:cs="宋体"/>
          <w:color w:val="auto"/>
          <w:sz w:val="28"/>
          <w:szCs w:val="28"/>
        </w:rPr>
        <w:t>监控化学品，是指下列各类化学品：</w:t>
      </w:r>
    </w:p>
    <w:p>
      <w:pPr>
        <w:pStyle w:val="22"/>
        <w:pageBreakBefore w:val="0"/>
        <w:widowControl w:val="0"/>
        <w:kinsoku/>
        <w:wordWrap/>
        <w:overflowPunct/>
        <w:topLinePunct w:val="0"/>
        <w:autoSpaceDE/>
        <w:autoSpaceDN/>
        <w:bidi w:val="0"/>
        <w:adjustRightInd/>
        <w:snapToGrid/>
        <w:spacing w:line="600" w:lineRule="exact"/>
        <w:ind w:firstLine="48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第一类：可作为化学武器的化学品；</w:t>
      </w:r>
    </w:p>
    <w:p>
      <w:pPr>
        <w:pStyle w:val="22"/>
        <w:pageBreakBefore w:val="0"/>
        <w:widowControl w:val="0"/>
        <w:kinsoku/>
        <w:wordWrap/>
        <w:overflowPunct/>
        <w:topLinePunct w:val="0"/>
        <w:autoSpaceDE/>
        <w:autoSpaceDN/>
        <w:bidi w:val="0"/>
        <w:adjustRightInd/>
        <w:snapToGrid/>
        <w:spacing w:line="600" w:lineRule="exact"/>
        <w:ind w:firstLine="48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第二类：可作为生产化学武器前体的化学品；</w:t>
      </w:r>
    </w:p>
    <w:p>
      <w:pPr>
        <w:pStyle w:val="22"/>
        <w:pageBreakBefore w:val="0"/>
        <w:widowControl w:val="0"/>
        <w:kinsoku/>
        <w:wordWrap/>
        <w:overflowPunct/>
        <w:topLinePunct w:val="0"/>
        <w:autoSpaceDE/>
        <w:autoSpaceDN/>
        <w:bidi w:val="0"/>
        <w:adjustRightInd/>
        <w:snapToGrid/>
        <w:spacing w:line="600" w:lineRule="exact"/>
        <w:ind w:firstLine="48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第三类：可作为生产化学武器主要原料的化学品；</w:t>
      </w:r>
    </w:p>
    <w:p>
      <w:pPr>
        <w:pStyle w:val="22"/>
        <w:pageBreakBefore w:val="0"/>
        <w:widowControl w:val="0"/>
        <w:kinsoku/>
        <w:wordWrap/>
        <w:overflowPunct/>
        <w:topLinePunct w:val="0"/>
        <w:autoSpaceDE/>
        <w:autoSpaceDN/>
        <w:bidi w:val="0"/>
        <w:adjustRightInd/>
        <w:snapToGrid/>
        <w:spacing w:line="600" w:lineRule="exact"/>
        <w:ind w:firstLine="48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第四类：除炸药和纯碳氢化合物外的特定有机化学品。</w:t>
      </w:r>
    </w:p>
    <w:p>
      <w:pPr>
        <w:pStyle w:val="22"/>
        <w:pageBreakBefore w:val="0"/>
        <w:widowControl w:val="0"/>
        <w:kinsoku/>
        <w:wordWrap/>
        <w:overflowPunct/>
        <w:topLinePunct w:val="0"/>
        <w:autoSpaceDE/>
        <w:autoSpaceDN/>
        <w:bidi w:val="0"/>
        <w:adjustRightInd/>
        <w:snapToGrid/>
        <w:spacing w:line="600" w:lineRule="exact"/>
        <w:ind w:firstLine="48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依据国务院令第48号《中华人民共和国监控化学品管理条例》，该企业涉及的化学品中无监控化学品。</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rPr>
      </w:pPr>
      <w:r>
        <w:rPr>
          <w:rFonts w:hint="eastAsia" w:ascii="宋体" w:hAnsi="宋体" w:eastAsia="宋体" w:cs="宋体"/>
          <w:b w:val="0"/>
          <w:color w:val="auto"/>
          <w:szCs w:val="28"/>
        </w:rPr>
        <w:t>3.3.2易制毒、易制爆化学品辨识</w:t>
      </w:r>
      <w:bookmarkEnd w:id="181"/>
    </w:p>
    <w:p>
      <w:pPr>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宋体" w:hAnsi="宋体" w:eastAsia="宋体" w:cs="宋体"/>
          <w:color w:val="auto"/>
          <w:szCs w:val="28"/>
        </w:rPr>
      </w:pPr>
      <w:bookmarkStart w:id="182" w:name="_Toc278143149"/>
      <w:r>
        <w:rPr>
          <w:rFonts w:hint="eastAsia" w:ascii="宋体" w:hAnsi="宋体" w:eastAsia="宋体" w:cs="宋体"/>
          <w:color w:val="auto"/>
          <w:szCs w:val="28"/>
        </w:rPr>
        <w:t>易制毒化学品是指国家规定管制的可用于制造毒品的前体、原料和化学助剂等物质。根据《易制毒化学品管理条例》国务院令703号，将易制毒化学品分为三类。第一类是可以用于制毒的主要原料，第二类、第三类是可以用于制毒的化学配剂。本项目不涉及易制毒化学品；根据中华人民共和国公安部《易制爆危险化学品名录》（2017年版）中规定，该企业不涉及易制爆危险化学品。</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rPr>
      </w:pPr>
      <w:r>
        <w:rPr>
          <w:rFonts w:hint="eastAsia" w:ascii="宋体" w:hAnsi="宋体" w:eastAsia="宋体" w:cs="宋体"/>
          <w:b w:val="0"/>
          <w:color w:val="auto"/>
          <w:szCs w:val="28"/>
        </w:rPr>
        <w:t>3.3.3高毒化学品辨识</w:t>
      </w:r>
      <w:bookmarkEnd w:id="182"/>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bookmarkStart w:id="183" w:name="_Toc278143150"/>
      <w:r>
        <w:rPr>
          <w:rFonts w:hint="eastAsia" w:ascii="宋体" w:hAnsi="宋体" w:eastAsia="宋体" w:cs="宋体"/>
          <w:color w:val="auto"/>
          <w:szCs w:val="28"/>
          <w:lang w:val="zh-CN"/>
        </w:rPr>
        <w:t>根据《高毒物品目录》（卫法监发[2003]142号），本项目氨气</w:t>
      </w:r>
      <w:r>
        <w:rPr>
          <w:rFonts w:hint="eastAsia" w:ascii="宋体" w:hAnsi="宋体" w:eastAsia="宋体" w:cs="宋体"/>
          <w:color w:val="auto"/>
          <w:szCs w:val="28"/>
        </w:rPr>
        <w:t>为高毒化学品</w:t>
      </w:r>
      <w:r>
        <w:rPr>
          <w:rFonts w:hint="eastAsia" w:ascii="宋体" w:hAnsi="宋体" w:eastAsia="宋体" w:cs="宋体"/>
          <w:color w:val="auto"/>
          <w:szCs w:val="28"/>
          <w:lang w:val="zh-CN"/>
        </w:rPr>
        <w:t>。</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rPr>
      </w:pPr>
      <w:r>
        <w:rPr>
          <w:rFonts w:hint="eastAsia" w:ascii="宋体" w:hAnsi="宋体" w:eastAsia="宋体" w:cs="宋体"/>
          <w:b w:val="0"/>
          <w:color w:val="auto"/>
          <w:szCs w:val="28"/>
        </w:rPr>
        <w:t>3.3.4剧毒化学品辨识</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根据《危险化学品目录》（2015年版）判定，该项目不涉及剧毒化学品。</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rPr>
      </w:pPr>
      <w:r>
        <w:rPr>
          <w:rFonts w:hint="eastAsia" w:ascii="宋体" w:hAnsi="宋体" w:eastAsia="宋体" w:cs="宋体"/>
          <w:b w:val="0"/>
          <w:color w:val="auto"/>
          <w:szCs w:val="28"/>
        </w:rPr>
        <w:t>3.3.5易制爆化学品辨识</w:t>
      </w:r>
      <w:bookmarkEnd w:id="183"/>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根据《易制爆危险化学品名录》（2017年版）的规定，本项目不涉及易制爆危险化学品。</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rPr>
      </w:pPr>
      <w:r>
        <w:rPr>
          <w:rFonts w:hint="eastAsia" w:ascii="宋体" w:hAnsi="宋体" w:eastAsia="宋体" w:cs="宋体"/>
          <w:b w:val="0"/>
          <w:color w:val="auto"/>
          <w:szCs w:val="28"/>
        </w:rPr>
        <w:t>3.3.6重点监管危险化学品辨识</w:t>
      </w:r>
    </w:p>
    <w:p>
      <w:pPr>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宋体" w:hAnsi="宋体" w:eastAsia="宋体" w:cs="宋体"/>
          <w:color w:val="auto"/>
          <w:szCs w:val="28"/>
        </w:rPr>
      </w:pPr>
      <w:r>
        <w:rPr>
          <w:rFonts w:hint="eastAsia" w:ascii="宋体" w:hAnsi="宋体" w:eastAsia="宋体" w:cs="宋体"/>
          <w:color w:val="auto"/>
          <w:szCs w:val="28"/>
        </w:rPr>
        <w:t>根据《首批重点监管的危险化学品名录》（安监总管三[2011]95号）、《第二批重点监管的危险化学品名录》（安监总管三[2013]12号）辨识，该工程涉及的氨气为重点监管的危险化学品。</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rPr>
      </w:pPr>
      <w:bookmarkStart w:id="184" w:name="_Toc32516"/>
      <w:r>
        <w:rPr>
          <w:rFonts w:hint="eastAsia" w:ascii="宋体" w:hAnsi="宋体" w:eastAsia="宋体" w:cs="宋体"/>
          <w:b w:val="0"/>
          <w:color w:val="auto"/>
          <w:szCs w:val="28"/>
          <w:lang w:val="zh-CN"/>
        </w:rPr>
        <w:t>3.</w:t>
      </w:r>
      <w:r>
        <w:rPr>
          <w:rFonts w:hint="eastAsia" w:ascii="宋体" w:hAnsi="宋体" w:eastAsia="宋体" w:cs="宋体"/>
          <w:b w:val="0"/>
          <w:color w:val="auto"/>
          <w:szCs w:val="28"/>
        </w:rPr>
        <w:t>2.7特别管控化学品辨识</w:t>
      </w:r>
      <w:bookmarkEnd w:id="184"/>
    </w:p>
    <w:p>
      <w:pPr>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宋体" w:hAnsi="宋体" w:eastAsia="宋体" w:cs="宋体"/>
          <w:color w:val="auto"/>
          <w:szCs w:val="28"/>
        </w:rPr>
      </w:pPr>
      <w:r>
        <w:rPr>
          <w:rFonts w:hint="eastAsia" w:ascii="宋体" w:hAnsi="宋体" w:eastAsia="宋体" w:cs="宋体"/>
          <w:color w:val="auto"/>
          <w:szCs w:val="28"/>
        </w:rPr>
        <w:t>根据</w:t>
      </w:r>
      <w:bookmarkStart w:id="185" w:name="_Hlk61215737"/>
      <w:r>
        <w:rPr>
          <w:rFonts w:hint="eastAsia" w:ascii="宋体" w:hAnsi="宋体" w:eastAsia="宋体" w:cs="宋体"/>
          <w:color w:val="auto"/>
          <w:szCs w:val="28"/>
        </w:rPr>
        <w:t>《特别管控危险化学品目录（第一版）》</w:t>
      </w:r>
      <w:bookmarkEnd w:id="185"/>
      <w:r>
        <w:rPr>
          <w:rFonts w:hint="eastAsia" w:ascii="宋体" w:hAnsi="宋体" w:eastAsia="宋体" w:cs="宋体"/>
          <w:color w:val="auto"/>
          <w:szCs w:val="28"/>
        </w:rPr>
        <w:t>的规定，本项目氨气为特别管控危险化学品。</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lang w:val="zh-CN"/>
        </w:rPr>
      </w:pPr>
      <w:r>
        <w:rPr>
          <w:rFonts w:hint="eastAsia" w:ascii="宋体" w:hAnsi="宋体" w:eastAsia="宋体" w:cs="宋体"/>
          <w:b w:val="0"/>
          <w:color w:val="auto"/>
          <w:szCs w:val="28"/>
          <w:lang w:val="zh-CN"/>
        </w:rPr>
        <w:t>3.3.</w:t>
      </w:r>
      <w:r>
        <w:rPr>
          <w:rFonts w:hint="eastAsia" w:ascii="宋体" w:hAnsi="宋体" w:eastAsia="宋体" w:cs="宋体"/>
          <w:b w:val="0"/>
          <w:color w:val="auto"/>
          <w:szCs w:val="28"/>
        </w:rPr>
        <w:t>8</w:t>
      </w:r>
      <w:r>
        <w:rPr>
          <w:rFonts w:hint="eastAsia" w:ascii="宋体" w:hAnsi="宋体" w:eastAsia="宋体" w:cs="宋体"/>
          <w:b w:val="0"/>
          <w:color w:val="auto"/>
          <w:szCs w:val="28"/>
          <w:lang w:val="zh-CN"/>
        </w:rPr>
        <w:t>危险化工工艺辨识</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lang w:val="zh-CN"/>
        </w:rPr>
        <w:t>根据国家安全监管总局发出《关于公布首批重点监管的危险化工工艺目录的通知》（安监总管三〔2009〕116号）和《国家安全监管总局关于公布第二批重点监管危险化工工艺目录和调整首批重点监管危险化工工艺中部分典型工艺的通知》（安监总管三〔2013〕3号），本项目不涉及危险工艺。</w:t>
      </w:r>
    </w:p>
    <w:bookmarkEnd w:id="179"/>
    <w:bookmarkEnd w:id="180"/>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186" w:name="_Toc204429152"/>
      <w:bookmarkStart w:id="187" w:name="_Toc11360"/>
      <w:bookmarkStart w:id="188" w:name="_Toc525109151"/>
      <w:bookmarkStart w:id="189" w:name="_Toc25391"/>
      <w:bookmarkStart w:id="190" w:name="_Toc24512"/>
      <w:r>
        <w:rPr>
          <w:rFonts w:hint="eastAsia" w:ascii="宋体" w:hAnsi="宋体" w:eastAsia="宋体" w:cs="宋体"/>
          <w:color w:val="auto"/>
          <w:sz w:val="30"/>
          <w:szCs w:val="30"/>
        </w:rPr>
        <w:t>3.</w:t>
      </w:r>
      <w:bookmarkEnd w:id="186"/>
      <w:r>
        <w:rPr>
          <w:rFonts w:hint="eastAsia" w:ascii="宋体" w:hAnsi="宋体" w:eastAsia="宋体" w:cs="宋体"/>
          <w:color w:val="auto"/>
          <w:sz w:val="30"/>
          <w:szCs w:val="30"/>
        </w:rPr>
        <w:t>4工艺过程的危险因素分析</w:t>
      </w:r>
      <w:bookmarkEnd w:id="187"/>
      <w:bookmarkEnd w:id="188"/>
      <w:bookmarkEnd w:id="189"/>
      <w:bookmarkEnd w:id="190"/>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bookmarkStart w:id="191" w:name="_Toc212267289"/>
      <w:bookmarkStart w:id="192" w:name="_Toc269112985"/>
      <w:bookmarkStart w:id="193" w:name="_Toc199298654"/>
      <w:r>
        <w:rPr>
          <w:rFonts w:hint="eastAsia" w:ascii="宋体" w:hAnsi="宋体" w:eastAsia="宋体" w:cs="宋体"/>
          <w:color w:val="auto"/>
          <w:szCs w:val="28"/>
          <w:lang w:val="zh-CN"/>
        </w:rPr>
        <w:t>按照《企业职工伤亡事故分类》GB6441-1986的规定，对本项目存在危险因素进行具体分析与辨识：</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lang w:val="zh-CN"/>
        </w:rPr>
      </w:pPr>
      <w:bookmarkStart w:id="194" w:name="_Toc273260740"/>
      <w:r>
        <w:rPr>
          <w:rFonts w:hint="eastAsia" w:ascii="宋体" w:hAnsi="宋体" w:eastAsia="宋体" w:cs="宋体"/>
          <w:b w:val="0"/>
          <w:color w:val="auto"/>
          <w:szCs w:val="28"/>
          <w:lang w:val="zh-CN"/>
        </w:rPr>
        <w:t>3.4.1 火灾、爆炸</w:t>
      </w:r>
      <w:bookmarkEnd w:id="191"/>
      <w:bookmarkEnd w:id="192"/>
      <w:bookmarkEnd w:id="193"/>
      <w:bookmarkEnd w:id="194"/>
      <w:r>
        <w:rPr>
          <w:rFonts w:hint="eastAsia" w:ascii="宋体" w:hAnsi="宋体" w:eastAsia="宋体" w:cs="宋体"/>
          <w:b w:val="0"/>
          <w:color w:val="auto"/>
          <w:szCs w:val="28"/>
          <w:lang w:val="zh-CN"/>
        </w:rPr>
        <w:tab/>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bookmarkStart w:id="195" w:name="_Toc74619456"/>
      <w:r>
        <w:rPr>
          <w:rFonts w:hint="eastAsia" w:ascii="宋体" w:hAnsi="宋体" w:eastAsia="宋体" w:cs="宋体"/>
          <w:color w:val="auto"/>
          <w:szCs w:val="28"/>
          <w:lang w:val="zh-CN"/>
        </w:rPr>
        <w:t>该工程涉及的氨气具有易燃、易爆的特性，遇火源能引发燃烧，发生火灾事故；其与空气形成爆炸性混合气并达到爆炸极限时，遇到火源会发生火灾、爆炸事故。管道中的氨气，因管理不到位或操作失误或其他原因造成氨气泄漏，而又未能及时发现，并遇到火源就有可能导致火灾、爆炸事故的发生。</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发生火灾、爆炸事故的三个必要条件是：可燃物、点火源、助燃物(空气或氧化剂)。引发火灾、爆炸事故的主要原因是</w:t>
      </w:r>
      <w:r>
        <w:rPr>
          <w:rFonts w:hint="eastAsia" w:ascii="宋体" w:hAnsi="宋体" w:eastAsia="宋体" w:cs="宋体"/>
          <w:color w:val="auto"/>
          <w:szCs w:val="28"/>
          <w:lang w:val="en-US" w:eastAsia="zh-CN"/>
        </w:rPr>
        <w:t>氨</w:t>
      </w:r>
      <w:r>
        <w:rPr>
          <w:rFonts w:hint="eastAsia" w:ascii="宋体" w:hAnsi="宋体" w:eastAsia="宋体" w:cs="宋体"/>
          <w:color w:val="auto"/>
          <w:szCs w:val="28"/>
          <w:lang w:val="zh-CN"/>
        </w:rPr>
        <w:t xml:space="preserve">气泄漏及存在点火源。LNG气化站发生火灾和爆炸的可能性有： </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1、泄漏</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1)泄漏因设备材质或质量不符合要求而造成腐蚀点，产生穿孔、破裂，导致爆裂从而泄漏；</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2)管道焊接处焊接质量差发生裂缝；</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3)管道阀门处连接不好；</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4)机械密封损坏；</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rPr>
        <w:t>5</w:t>
      </w:r>
      <w:r>
        <w:rPr>
          <w:rFonts w:hint="eastAsia" w:ascii="宋体" w:hAnsi="宋体" w:eastAsia="宋体" w:cs="宋体"/>
          <w:color w:val="auto"/>
          <w:szCs w:val="28"/>
          <w:lang w:val="zh-CN"/>
        </w:rPr>
        <w:t>)在运行过程中因静电或摩擦等引起燃烧爆炸。</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rPr>
        <w:t>6</w:t>
      </w:r>
      <w:r>
        <w:rPr>
          <w:rFonts w:hint="eastAsia" w:ascii="宋体" w:hAnsi="宋体" w:eastAsia="宋体" w:cs="宋体"/>
          <w:color w:val="auto"/>
          <w:szCs w:val="28"/>
          <w:lang w:val="zh-CN"/>
        </w:rPr>
        <w:t>)设备或管道因腐蚀、安装质量差、以及设备开停频繁、温度升降骤变等原因，极易引起设备、管道及其连接点、阀门、法兰等部位泄漏，造成着火爆炸。</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2、点火源</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1)明火，包括检修动火、生活用火，违章吸烟，车辆尾气管排火等；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2)雷击和电气火花；</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3)检修、操作用具产生的摩擦、撞击火花；</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4)静电，包括液体流动产生的静电和人体静电；</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5)流散杂动能，如在防爆区使用手机等；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6)周围环境的散发火花。</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7)在该企业域内存在火灾爆炸危险区，在生产过程中由于操作、设备故障、管线泄漏等原因造成易燃易爆物质的泄漏，且与空气形成爆炸性混合物，并同时遇“足够的点火能源”将发生火灾爆炸事故。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8)生产过程中，由于易燃气体在管道中流速过快，静电接地不良，造成静电积聚，当管线泄漏等因素将引起火灾、爆炸事故。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9)生产过程中，由于联系不畅、信号错误、操作失误、安全连锁装置失灵及检查不周，以及设备、管道缺陷等原因，使设备形成负压，空气进入设备或管道中，此时设备或管道中的可燃气体与空气混合，可形成爆炸性混合气体，在高温、摩擦、静电等能点火源的作用下，即可引起爆炸。</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10)防爆区域内的电气(含仪表、自控)设备、设施、线缆选用不符合环境的电气设备、设施、线缆，或安装、布置不符合要求，可能引发火灾、爆炸事故。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11)进入防爆区域内的机动车辆未戴阻火器，作业人员进入防爆区域穿化纤工作服等，均可能引发火灾、爆炸事故。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12)雷电和静电</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本项目存在雷击危险。雷击放电、雷击产生高温、产生的感应电是一个主要的点火源，尤其是球状雷，目前尚无有效的防范措施。</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氨气在管线、设备中流动时均可能产生静电，人体本身也带有静电，而且静电潜伏性强，不易被人们察觉。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13)电气火花</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生产区使用电气设备，由于带电设备不防爆或安装不合理，电接点接触不良、线路短路等将可能产生电火花。</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电气引起的火灾很多。在易燃易爆物存在的场合，点火源越多，火灾危险性越大。</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14)撞击摩擦热</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主要是操作、检修过程使用的工具产生撞击火花。</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3、公用工程及辅助设施的影响</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1)生产过程中发生停电，仪控系统失效、可能引发火灾、爆炸事故。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2)安全设施失效，如安全阀不动作或泄放量不足，检测报警装置不灵敏，造成不能及时发现和消除故障或隐患，引发火灾、爆炸事故。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4、设备施工、检修过程的火灾、爆炸危险性分析</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1)质量缺陷或密封不良</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生产装置管道、机泵在制造、安装过程中可能存在质量缺陷，安装过程中焊接质量缺陷、法兰连接处密封垫及机械密封选型不当，在运行时造成设备、容器破坏。运行过程中材质和密封因物料腐蚀老化等，都可能造成物料的泄漏。</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2)检修时如需要动火，动火点距正在运行的装置较近，动火时易造成火灾、事故。在检修时车辆运输、设备吊装、安装等，可能碰坏正在运行的设备、管道，引起泄漏并引发火灾、爆炸事故。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3)单台或部分设备检修前未制定相应的方案，未进行相应的隔绝和置换合格，在检修过程中发生火灾、爆炸事故。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4)巡检人员或检修人员工具不按规定使用而造成高处落物损坏管道造成泄漏等；因管道标志不清检修时误拆管道。</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5)动火作业时未严格执行作业票证制度，未对设备进行清洗置换并分析合格进行动火作业。</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5、生产系统及辅助设施中的物理性爆炸危险因素</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1)调压设施、阀门、安全附件不全或不可靠，工艺控制不好造成超压发生物理爆炸；</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2)调压设施、阀门、安全附件的材质或安装质量不符合要求而产生穿孔、破裂，引起设备或管道局部抗压能力下降，导致引起物理爆炸。</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3)调压设施、阀门、安全附件遭到外力损伤，例如：违章开挖管线、自然灾害等，引起设备或管道局部抗压能力下降，导致引起物理爆炸。</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rPr>
        <w:t>6、</w:t>
      </w:r>
      <w:r>
        <w:rPr>
          <w:rFonts w:hint="eastAsia" w:ascii="宋体" w:hAnsi="宋体" w:eastAsia="宋体" w:cs="宋体"/>
          <w:color w:val="auto"/>
          <w:szCs w:val="28"/>
          <w:lang w:val="zh-CN"/>
        </w:rPr>
        <w:t>生产系统及辅助设施中电气火灾危险因素</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本项目输配系统及辅助设施中使用电气设备、设施，包括变配电、电气设备，同时使用电缆、电线，这些电气设施可能因负荷过载、短路、漏电、绝缘老化、感应雷、小动物侵入、防护等级不足、接地接零故障、蓄热等引起火灾、爆炸。</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杜绝生产场所的点火源是防止事故发生的一项重要措施。</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en-US" w:eastAsia="zh-CN"/>
        </w:rPr>
        <w:t>7</w:t>
      </w:r>
      <w:r>
        <w:rPr>
          <w:rFonts w:hint="eastAsia" w:ascii="宋体" w:hAnsi="宋体" w:eastAsia="宋体" w:cs="宋体"/>
          <w:color w:val="auto"/>
          <w:szCs w:val="28"/>
          <w:lang w:val="zh-CN"/>
        </w:rPr>
        <w:t>、容器爆炸</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1)氨水储罐因罐体设备材质或质量不符合要求而产生穿孔、破裂。储罐充装过量，引发储罐爆裂。</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2)管道材质或质量不符合要求而产生穿孔、破裂，导致管道局部抗压能力下降，管道破裂；</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rPr>
        <w:t>3</w:t>
      </w:r>
      <w:r>
        <w:rPr>
          <w:rFonts w:hint="eastAsia" w:ascii="宋体" w:hAnsi="宋体" w:eastAsia="宋体" w:cs="宋体"/>
          <w:color w:val="auto"/>
          <w:szCs w:val="28"/>
          <w:lang w:val="zh-CN"/>
        </w:rPr>
        <w:t>)操作人员对出现的设备或工艺故障未及时发现或采取的措施不当等。液体排液、放空或取样时，若阀门开度过大，容易产生静电或引起着火事故。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en-US" w:eastAsia="zh-CN"/>
        </w:rPr>
      </w:pPr>
      <w:r>
        <w:rPr>
          <w:rFonts w:hint="eastAsia" w:ascii="宋体" w:hAnsi="宋体" w:eastAsia="宋体" w:cs="宋体"/>
          <w:color w:val="auto"/>
          <w:szCs w:val="28"/>
          <w:lang w:val="en-US" w:eastAsia="zh-CN"/>
        </w:rPr>
        <w:t>4)循环泵、板式换热器出现故障</w:t>
      </w:r>
      <w:r>
        <w:rPr>
          <w:rFonts w:hint="eastAsia" w:ascii="宋体" w:hAnsi="宋体" w:eastAsia="宋体" w:cs="宋体"/>
          <w:color w:val="auto"/>
          <w:szCs w:val="28"/>
          <w:lang w:val="zh-CN"/>
        </w:rPr>
        <w:t>未及时发现或采取的措施不当等。</w:t>
      </w:r>
    </w:p>
    <w:bookmarkEnd w:id="195"/>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lang w:val="zh-CN"/>
        </w:rPr>
      </w:pPr>
      <w:bookmarkStart w:id="196" w:name="_Toc273260741"/>
      <w:bookmarkStart w:id="197" w:name="_Toc269112987"/>
      <w:r>
        <w:rPr>
          <w:rFonts w:hint="eastAsia" w:ascii="宋体" w:hAnsi="宋体" w:eastAsia="宋体" w:cs="宋体"/>
          <w:b w:val="0"/>
          <w:color w:val="auto"/>
          <w:szCs w:val="28"/>
          <w:lang w:val="zh-CN"/>
        </w:rPr>
        <w:t>3.4.2 触电</w:t>
      </w:r>
      <w:bookmarkEnd w:id="196"/>
      <w:bookmarkEnd w:id="197"/>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该项目电气布线及用电设备较多，用电设备设施如出现故障、绝缘损坏、操作人员违章操作、误操作或者设备本身的设计缺陷等原因，均可造成触电事故的发生，引发人身伤害事故，甚至引发火灾、爆炸事故。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产生触电的原因有：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1)安全管理不到位，管理制度不完善，没有必要的安全组织措施等，如出现违章作业、误操作、设备检修不及时或没有必要的检修维护等；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2)电气设备设计不合理，如安装缺陷、防爆等级不匹配、没有必要的安全保护措施等，如没有保护接地、接零、漏电保护、等电位连接等；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3)电气设备运行过程中出现故障，如短路、漏电、过载、散热不良等；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4)防雷设施设计不合理、或存在缺陷、或防雷装置失效等。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5)人体接触高、低压电源会造成触电伤害，雷击也可能产生类似后果。该项目建有变、配电室，以保证各类设备运行、照明的需要。如果开关等电气材料本身存有缺陷，或设备保护接地失效，操作失误，思想麻痹，个人防护缺陷，操作电气开关不当，或非专业人员违章操作等，易发生人员触电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6)非电气人员进行电气作业，电气设备标识不明等，可能发生触电事故或带负荷拉闸引起电弧烧伤，并可能引起二次事故。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7)从安全角度考虑，电气事故主要包括由电流、电磁场和某些电路故障等直接或间接造成的人员伤亡、设备损坏以及引起火灾事故等。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8)触电事故的种类有：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(1)人直接与带电体接触；</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(2)与绝缘损坏的电气设备接触；</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(3)与带电体的距离小于安全距离；</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(4)跨步电压触电。</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9)该项目使用的电气设备有电机、变配电设备、动力和照明线路、照明电器、消防设备等，在工作过程中，由于作业人员不能按照电气工作安全操作规程进行操作或缺乏安全用电常识，以及设备本身故障等原因，均可能造成危险事故的发生。</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lang w:val="zh-CN"/>
        </w:rPr>
      </w:pPr>
      <w:bookmarkStart w:id="198" w:name="_Toc269112988"/>
      <w:bookmarkStart w:id="199" w:name="_Toc273260742"/>
      <w:r>
        <w:rPr>
          <w:rFonts w:hint="eastAsia" w:ascii="宋体" w:hAnsi="宋体" w:eastAsia="宋体" w:cs="宋体"/>
          <w:b w:val="0"/>
          <w:color w:val="auto"/>
          <w:szCs w:val="28"/>
          <w:lang w:val="zh-CN"/>
        </w:rPr>
        <w:t>3.4.3机械伤害</w:t>
      </w:r>
      <w:bookmarkEnd w:id="198"/>
      <w:bookmarkEnd w:id="199"/>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机械伤害是指机械设备的运动部件直接与人体接触所造成的伤害。</w:t>
      </w:r>
      <w:bookmarkStart w:id="200" w:name="_Toc210187332"/>
      <w:bookmarkStart w:id="201" w:name="_Toc379079771"/>
      <w:r>
        <w:rPr>
          <w:rFonts w:hint="eastAsia" w:ascii="宋体" w:hAnsi="宋体" w:eastAsia="宋体" w:cs="宋体"/>
          <w:color w:val="auto"/>
          <w:szCs w:val="28"/>
          <w:lang w:val="zh-CN"/>
        </w:rPr>
        <w:t>在</w:t>
      </w:r>
      <w:r>
        <w:rPr>
          <w:rFonts w:hint="eastAsia" w:ascii="宋体" w:hAnsi="宋体" w:eastAsia="宋体" w:cs="宋体"/>
          <w:color w:val="auto"/>
          <w:szCs w:val="28"/>
          <w:lang w:val="zh-CN"/>
        </w:rPr>
        <w:t>集气过程中使用的循环泵等机械设备，如果防护装置缺乏或损坏会造成机</w:t>
      </w:r>
      <w:r>
        <w:rPr>
          <w:rFonts w:hint="eastAsia" w:ascii="宋体" w:hAnsi="宋体" w:eastAsia="宋体" w:cs="宋体"/>
          <w:color w:val="auto"/>
          <w:szCs w:val="28"/>
          <w:lang w:val="zh-CN"/>
        </w:rPr>
        <w:t>械伤害；在检修、抢修作业时，维修用机具安全设施失效，操作失误等，可能引起机械伤害。</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lang w:val="zh-CN"/>
        </w:rPr>
      </w:pPr>
      <w:bookmarkStart w:id="202" w:name="_Toc273260743"/>
      <w:bookmarkStart w:id="203" w:name="_Toc269112989"/>
      <w:r>
        <w:rPr>
          <w:rFonts w:hint="eastAsia" w:ascii="宋体" w:hAnsi="宋体" w:eastAsia="宋体" w:cs="宋体"/>
          <w:b w:val="0"/>
          <w:color w:val="auto"/>
          <w:szCs w:val="28"/>
          <w:lang w:val="zh-CN"/>
        </w:rPr>
        <w:t>3.4.4 车辆伤害</w:t>
      </w:r>
      <w:bookmarkEnd w:id="200"/>
      <w:bookmarkEnd w:id="201"/>
      <w:bookmarkEnd w:id="202"/>
      <w:bookmarkEnd w:id="203"/>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bookmarkStart w:id="204" w:name="_Toc269112990"/>
      <w:bookmarkStart w:id="205" w:name="_Toc273260744"/>
      <w:r>
        <w:rPr>
          <w:rFonts w:hint="eastAsia" w:ascii="宋体" w:hAnsi="宋体" w:eastAsia="宋体" w:cs="宋体"/>
          <w:color w:val="auto"/>
          <w:szCs w:val="28"/>
          <w:lang w:val="zh-CN"/>
        </w:rPr>
        <w:t>车辆伤害指企业机动车辆在行驶中引起的人体坠落和物体倒塌、飞落、挤压伤亡事故，不包括起重设备提升、牵引车辆和车辆停驶时发生的事故。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该项目的</w:t>
      </w:r>
      <w:r>
        <w:rPr>
          <w:rFonts w:hint="eastAsia" w:ascii="宋体" w:hAnsi="宋体" w:eastAsia="宋体" w:cs="宋体"/>
          <w:color w:val="auto"/>
          <w:szCs w:val="28"/>
          <w:lang w:val="en-US" w:eastAsia="zh-CN"/>
        </w:rPr>
        <w:t>氨水</w:t>
      </w:r>
      <w:r>
        <w:rPr>
          <w:rFonts w:hint="eastAsia" w:ascii="宋体" w:hAnsi="宋体" w:eastAsia="宋体" w:cs="宋体"/>
          <w:color w:val="auto"/>
          <w:szCs w:val="28"/>
          <w:lang w:val="zh-CN"/>
        </w:rPr>
        <w:t>的装卸、运输需要使用车辆。由于</w:t>
      </w:r>
      <w:r>
        <w:rPr>
          <w:rFonts w:hint="eastAsia" w:ascii="宋体" w:hAnsi="宋体" w:eastAsia="宋体" w:cs="宋体"/>
          <w:color w:val="auto"/>
          <w:szCs w:val="28"/>
          <w:lang w:val="en-US" w:eastAsia="zh-CN"/>
        </w:rPr>
        <w:t>厂内</w:t>
      </w:r>
      <w:r>
        <w:rPr>
          <w:rFonts w:hint="eastAsia" w:ascii="宋体" w:hAnsi="宋体" w:eastAsia="宋体" w:cs="宋体"/>
          <w:color w:val="auto"/>
          <w:szCs w:val="28"/>
          <w:lang w:val="zh-CN"/>
        </w:rPr>
        <w:t>道路、车辆的装</w:t>
      </w:r>
      <w:r>
        <w:rPr>
          <w:rFonts w:hint="eastAsia" w:ascii="宋体" w:hAnsi="宋体" w:eastAsia="宋体" w:cs="宋体"/>
          <w:color w:val="auto"/>
          <w:szCs w:val="28"/>
          <w:lang w:val="zh-CN"/>
        </w:rPr>
        <w:t>卸和驾驶，可因道路参数、视线不良、缺少行车安全警示标志及车辆或驾驶员的管理等方面的缺陷均可能引发车辆伤害事故。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该企业如汽车运输来往频繁，如果没有限速标志和道路指示，有可能因车辆违章搭人、装运物资不当影响驾驶人员视线、驾驶人员违章作业或道路过窄过陡等也可能造成车辆行车事故和人员伤害。还可能因违章，车辆失控撞击生产设施造成重大恶性事故等。</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lang w:val="zh-CN"/>
        </w:rPr>
      </w:pPr>
      <w:r>
        <w:rPr>
          <w:rFonts w:hint="eastAsia" w:ascii="宋体" w:hAnsi="宋体" w:eastAsia="宋体" w:cs="宋体"/>
          <w:b w:val="0"/>
          <w:color w:val="auto"/>
          <w:szCs w:val="28"/>
          <w:lang w:val="zh-CN"/>
        </w:rPr>
        <w:t>3.4.5 中毒、窒息</w:t>
      </w:r>
      <w:bookmarkEnd w:id="204"/>
      <w:bookmarkEnd w:id="205"/>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中毒是物体进入机体，与机体组织发生生物化学或生物物理学变化，干扰或破坏机体的正常生理功能，引起暂时性或永久性的病理状态，甚至危及生命的过程。</w:t>
      </w:r>
    </w:p>
    <w:p>
      <w:pPr>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宋体" w:hAnsi="宋体" w:eastAsia="宋体" w:cs="宋体"/>
          <w:color w:val="auto"/>
          <w:kern w:val="0"/>
          <w:szCs w:val="28"/>
        </w:rPr>
      </w:pPr>
      <w:bookmarkStart w:id="206" w:name="_Toc269112991"/>
      <w:bookmarkStart w:id="207" w:name="_Toc273260745"/>
      <w:bookmarkStart w:id="208" w:name="_Toc191983555"/>
      <w:r>
        <w:rPr>
          <w:rFonts w:hint="eastAsia" w:ascii="宋体" w:hAnsi="宋体" w:eastAsia="宋体" w:cs="宋体"/>
          <w:color w:val="auto"/>
          <w:kern w:val="0"/>
          <w:szCs w:val="28"/>
        </w:rPr>
        <w:t>氨为有毒、有刺激性和恶臭味的气体，易造成急性中毒和灼伤，每立方米空气中最高允许浓度为30mg/m</w:t>
      </w:r>
      <w:r>
        <w:rPr>
          <w:rFonts w:hint="eastAsia" w:ascii="宋体" w:hAnsi="宋体" w:eastAsia="宋体" w:cs="宋体"/>
          <w:color w:val="auto"/>
          <w:kern w:val="0"/>
          <w:szCs w:val="28"/>
          <w:vertAlign w:val="superscript"/>
        </w:rPr>
        <w:t>3</w:t>
      </w:r>
      <w:r>
        <w:rPr>
          <w:rFonts w:hint="eastAsia" w:ascii="宋体" w:hAnsi="宋体" w:eastAsia="宋体" w:cs="宋体"/>
          <w:color w:val="auto"/>
          <w:kern w:val="0"/>
          <w:szCs w:val="28"/>
        </w:rPr>
        <w:t>，当空气中氨的含量达到0.5-0.6%，30分钟内即可造成人员中毒。氨主要对上呼吸道有刺激和腐蚀作用。短时间内吸入高浓度氨气或直接接触液氨，引起眼和上呼吸道刺激症状，轻者有流泪、视物模糊、咽干、咽痛、咳嗽及轻度头痛、头晕、乏力等；较重者表现为咽部烧灼感、呼吸困难，眼结膜、咽部明显充血、水肿，甚至产生喉头水肿；严重者可引起化学性肺炎或肺泡性肺水肿，表现为剧烈咳嗽，咳出大量粉红色泡沫痰。氨水污染皮肤或溅入眼内，可造成皮肤的灼伤和角膜溃疡等。</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lang w:val="zh-CN"/>
        </w:rPr>
      </w:pPr>
      <w:r>
        <w:rPr>
          <w:rFonts w:hint="eastAsia" w:ascii="宋体" w:hAnsi="宋体" w:eastAsia="宋体" w:cs="宋体"/>
          <w:b w:val="0"/>
          <w:color w:val="auto"/>
          <w:szCs w:val="28"/>
          <w:lang w:val="zh-CN"/>
        </w:rPr>
        <w:t>3.4.6 高处坠落</w:t>
      </w:r>
      <w:bookmarkEnd w:id="206"/>
      <w:bookmarkEnd w:id="207"/>
      <w:bookmarkEnd w:id="208"/>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bookmarkStart w:id="209" w:name="_Toc273260746"/>
      <w:bookmarkStart w:id="210" w:name="_Toc219559462"/>
      <w:bookmarkStart w:id="211" w:name="_Toc238875753"/>
      <w:bookmarkStart w:id="212" w:name="_Toc223145327"/>
      <w:bookmarkStart w:id="213" w:name="_Toc226003612"/>
      <w:bookmarkStart w:id="214" w:name="_Toc237873198"/>
      <w:bookmarkStart w:id="215" w:name="_Toc231608334"/>
      <w:bookmarkStart w:id="216" w:name="_Toc233793148"/>
      <w:bookmarkStart w:id="217" w:name="_Toc231986622"/>
      <w:r>
        <w:rPr>
          <w:rFonts w:hint="eastAsia" w:ascii="宋体" w:hAnsi="宋体" w:eastAsia="宋体" w:cs="宋体"/>
          <w:color w:val="auto"/>
          <w:szCs w:val="28"/>
          <w:lang w:val="zh-CN"/>
        </w:rPr>
        <w:t>本工程设有储罐，在正常生产巡查和设备维修时，如防护不当、麻痹大意、在强自然风力作用下或冰冻期间，可能发生高处作业人员的坠落或坠物伤害事故。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检修时使用工具飞出；高处作业时，工具及材料使用放置不当；作业场所物质设备吊运中人员暴露在危险区域等，可造成高空落物伤人及损坏设备事故。</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lang w:val="zh-CN"/>
        </w:rPr>
      </w:pPr>
      <w:r>
        <w:rPr>
          <w:rFonts w:hint="eastAsia" w:ascii="宋体" w:hAnsi="宋体" w:eastAsia="宋体" w:cs="宋体"/>
          <w:b w:val="0"/>
          <w:color w:val="auto"/>
          <w:szCs w:val="28"/>
          <w:lang w:val="en-US" w:eastAsia="zh-CN"/>
        </w:rPr>
        <w:t>3.4.7</w:t>
      </w:r>
      <w:r>
        <w:rPr>
          <w:rFonts w:hint="eastAsia" w:ascii="宋体" w:hAnsi="宋体" w:eastAsia="宋体" w:cs="宋体"/>
          <w:b w:val="0"/>
          <w:color w:val="auto"/>
          <w:szCs w:val="28"/>
          <w:lang w:val="zh-CN"/>
        </w:rPr>
        <w:t>灼伤</w:t>
      </w:r>
    </w:p>
    <w:p>
      <w:pPr>
        <w:pageBreakBefore w:val="0"/>
        <w:widowControl w:val="0"/>
        <w:kinsoku/>
        <w:wordWrap/>
        <w:overflowPunct/>
        <w:topLinePunct w:val="0"/>
        <w:autoSpaceDE/>
        <w:autoSpaceDN/>
        <w:bidi w:val="0"/>
        <w:adjustRightInd/>
        <w:snapToGrid/>
        <w:spacing w:line="600" w:lineRule="exact"/>
        <w:ind w:firstLine="560"/>
        <w:textAlignment w:val="auto"/>
        <w:rPr>
          <w:rFonts w:hint="eastAsia" w:ascii="宋体" w:hAnsi="宋体" w:eastAsia="宋体" w:cs="宋体"/>
          <w:color w:val="auto"/>
          <w:lang w:val="en-US"/>
        </w:rPr>
      </w:pPr>
      <w:r>
        <w:rPr>
          <w:rFonts w:hint="eastAsia" w:ascii="宋体" w:hAnsi="宋体" w:eastAsia="宋体" w:cs="宋体"/>
          <w:color w:val="auto"/>
          <w:lang w:val="en-US"/>
        </w:rPr>
        <w:t>项目</w:t>
      </w:r>
      <w:r>
        <w:rPr>
          <w:rFonts w:hint="eastAsia" w:ascii="宋体" w:hAnsi="宋体" w:eastAsia="宋体" w:cs="宋体"/>
          <w:color w:val="auto"/>
          <w:lang w:val="en-US" w:eastAsia="zh-CN"/>
        </w:rPr>
        <w:t>涉及</w:t>
      </w:r>
      <w:r>
        <w:rPr>
          <w:rFonts w:hint="eastAsia" w:ascii="宋体" w:hAnsi="宋体" w:eastAsia="宋体" w:cs="宋体"/>
          <w:color w:val="auto"/>
          <w:lang w:val="en-US"/>
        </w:rPr>
        <w:t>的</w:t>
      </w:r>
      <w:r>
        <w:rPr>
          <w:rFonts w:hint="eastAsia" w:ascii="宋体" w:hAnsi="宋体" w:eastAsia="宋体" w:cs="宋体"/>
          <w:color w:val="auto"/>
          <w:szCs w:val="21"/>
          <w:lang w:val="en-US"/>
        </w:rPr>
        <w:t>氨水、</w:t>
      </w:r>
      <w:r>
        <w:rPr>
          <w:rFonts w:hint="eastAsia" w:ascii="宋体" w:hAnsi="宋体" w:eastAsia="宋体" w:cs="宋体"/>
          <w:color w:val="auto"/>
          <w:szCs w:val="21"/>
          <w:lang w:val="en-US" w:eastAsia="zh-CN"/>
        </w:rPr>
        <w:t>氨气</w:t>
      </w:r>
      <w:r>
        <w:rPr>
          <w:rFonts w:hint="eastAsia" w:ascii="宋体" w:hAnsi="宋体" w:eastAsia="宋体" w:cs="宋体"/>
          <w:color w:val="auto"/>
          <w:szCs w:val="21"/>
        </w:rPr>
        <w:t>物质</w:t>
      </w:r>
      <w:r>
        <w:rPr>
          <w:rFonts w:hint="eastAsia" w:ascii="宋体" w:hAnsi="宋体" w:eastAsia="宋体" w:cs="宋体"/>
          <w:color w:val="auto"/>
          <w:lang w:val="en-US"/>
        </w:rPr>
        <w:t>对人体皮肤有一定的腐蚀或刺激作用，可能会造成人员化学灼伤。因此，如果发生设备的跑、冒、泄漏、喷洒、容器管道破裂等均可导致人体表面急性化学灼伤或人身伤亡事故。</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lang w:val="zh-CN" w:eastAsia="zh-CN"/>
        </w:rPr>
      </w:pPr>
      <w:r>
        <w:rPr>
          <w:rFonts w:hint="eastAsia" w:ascii="宋体" w:hAnsi="宋体" w:eastAsia="宋体" w:cs="宋体"/>
          <w:b w:val="0"/>
          <w:color w:val="auto"/>
          <w:szCs w:val="28"/>
          <w:lang w:val="zh-CN" w:eastAsia="zh-CN"/>
        </w:rPr>
        <w:t>3.4.</w:t>
      </w:r>
      <w:r>
        <w:rPr>
          <w:rFonts w:hint="eastAsia" w:ascii="宋体" w:hAnsi="宋体" w:eastAsia="宋体" w:cs="宋体"/>
          <w:b w:val="0"/>
          <w:color w:val="auto"/>
          <w:szCs w:val="28"/>
          <w:lang w:val="en-US" w:eastAsia="zh-CN"/>
        </w:rPr>
        <w:t>8</w:t>
      </w:r>
      <w:r>
        <w:rPr>
          <w:rFonts w:hint="eastAsia" w:ascii="宋体" w:hAnsi="宋体" w:eastAsia="宋体" w:cs="宋体"/>
          <w:b w:val="0"/>
          <w:color w:val="auto"/>
          <w:szCs w:val="28"/>
          <w:lang w:val="zh-CN" w:eastAsia="zh-CN"/>
        </w:rPr>
        <w:t>坍塌</w:t>
      </w:r>
    </w:p>
    <w:p>
      <w:pPr>
        <w:pageBreakBefore w:val="0"/>
        <w:widowControl w:val="0"/>
        <w:kinsoku/>
        <w:wordWrap/>
        <w:overflowPunct/>
        <w:topLinePunct w:val="0"/>
        <w:autoSpaceDE/>
        <w:autoSpaceDN/>
        <w:bidi w:val="0"/>
        <w:adjustRightInd/>
        <w:snapToGrid/>
        <w:spacing w:line="600" w:lineRule="exact"/>
        <w:ind w:firstLine="560"/>
        <w:textAlignment w:val="auto"/>
        <w:rPr>
          <w:rFonts w:hint="eastAsia" w:ascii="宋体" w:hAnsi="宋体" w:eastAsia="宋体" w:cs="宋体"/>
          <w:color w:val="auto"/>
        </w:rPr>
      </w:pPr>
      <w:r>
        <w:rPr>
          <w:rFonts w:hint="eastAsia" w:ascii="宋体" w:hAnsi="宋体" w:eastAsia="宋体" w:cs="宋体"/>
          <w:color w:val="auto"/>
          <w:lang w:val="en-US"/>
        </w:rPr>
        <w:t>项目建构筑物、作业平台、设备设施等由于建筑施工质量问题</w:t>
      </w:r>
      <w:r>
        <w:rPr>
          <w:rFonts w:hint="eastAsia" w:ascii="宋体" w:hAnsi="宋体" w:eastAsia="宋体" w:cs="宋体"/>
          <w:color w:val="auto"/>
          <w:lang w:val="en-US" w:eastAsia="zh-CN"/>
        </w:rPr>
        <w:t>或因为腐蚀</w:t>
      </w:r>
      <w:r>
        <w:rPr>
          <w:rFonts w:hint="eastAsia" w:ascii="宋体" w:hAnsi="宋体" w:eastAsia="宋体" w:cs="宋体"/>
          <w:color w:val="auto"/>
          <w:lang w:val="en-US"/>
        </w:rPr>
        <w:t>等造成建构筑物、平台等坍塌，可能造成人员伤亡事故。</w:t>
      </w:r>
    </w:p>
    <w:bookmarkEnd w:id="209"/>
    <w:bookmarkEnd w:id="210"/>
    <w:bookmarkEnd w:id="211"/>
    <w:bookmarkEnd w:id="212"/>
    <w:bookmarkEnd w:id="213"/>
    <w:bookmarkEnd w:id="214"/>
    <w:bookmarkEnd w:id="215"/>
    <w:bookmarkEnd w:id="216"/>
    <w:bookmarkEnd w:id="217"/>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lang w:val="zh-CN"/>
        </w:rPr>
      </w:pPr>
      <w:r>
        <w:rPr>
          <w:rFonts w:hint="eastAsia" w:ascii="宋体" w:hAnsi="宋体" w:eastAsia="宋体" w:cs="宋体"/>
          <w:b w:val="0"/>
          <w:color w:val="auto"/>
          <w:szCs w:val="28"/>
          <w:lang w:val="zh-CN"/>
        </w:rPr>
        <w:t>3.4.</w:t>
      </w:r>
      <w:r>
        <w:rPr>
          <w:rFonts w:hint="eastAsia" w:ascii="宋体" w:hAnsi="宋体" w:eastAsia="宋体" w:cs="宋体"/>
          <w:b w:val="0"/>
          <w:color w:val="auto"/>
          <w:szCs w:val="28"/>
          <w:lang w:val="en-US" w:eastAsia="zh-CN"/>
        </w:rPr>
        <w:t>9</w:t>
      </w:r>
      <w:r>
        <w:rPr>
          <w:rFonts w:hint="eastAsia" w:ascii="宋体" w:hAnsi="宋体" w:eastAsia="宋体" w:cs="宋体"/>
          <w:b w:val="0"/>
          <w:color w:val="auto"/>
          <w:szCs w:val="28"/>
          <w:lang w:val="zh-CN"/>
        </w:rPr>
        <w:t>其他</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本项目在生产、检修过程中可能存在因环境不良、注意力不集中等原因造成的滑跌、绊倒、碰撞等，造成人员伤害。</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218" w:name="_Toc525109152"/>
      <w:bookmarkStart w:id="219" w:name="_Toc342424378"/>
      <w:bookmarkStart w:id="220" w:name="_Toc8747"/>
      <w:bookmarkStart w:id="221" w:name="_Toc22731"/>
      <w:bookmarkStart w:id="222" w:name="_Toc327710566"/>
      <w:bookmarkStart w:id="223" w:name="_Toc274377395"/>
      <w:bookmarkStart w:id="224" w:name="_Toc313574243"/>
      <w:bookmarkStart w:id="225" w:name="_Toc1357"/>
      <w:bookmarkStart w:id="226" w:name="_Toc30074"/>
      <w:bookmarkStart w:id="227" w:name="_Toc8609"/>
      <w:r>
        <w:rPr>
          <w:rFonts w:hint="eastAsia" w:ascii="宋体" w:hAnsi="宋体" w:eastAsia="宋体" w:cs="宋体"/>
          <w:color w:val="auto"/>
          <w:sz w:val="30"/>
          <w:szCs w:val="30"/>
        </w:rPr>
        <w:t>3.5主要设备、设施危险性分析</w:t>
      </w:r>
      <w:bookmarkEnd w:id="218"/>
      <w:bookmarkEnd w:id="219"/>
      <w:bookmarkEnd w:id="220"/>
      <w:bookmarkEnd w:id="221"/>
      <w:bookmarkEnd w:id="222"/>
      <w:bookmarkEnd w:id="223"/>
      <w:bookmarkEnd w:id="224"/>
      <w:bookmarkEnd w:id="225"/>
      <w:bookmarkEnd w:id="226"/>
      <w:bookmarkEnd w:id="227"/>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一、氨水储罐</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szCs w:val="21"/>
        </w:rPr>
        <w:t>存在超装、超压、</w:t>
      </w:r>
      <w:r>
        <w:rPr>
          <w:rFonts w:hint="eastAsia" w:ascii="宋体" w:hAnsi="宋体" w:eastAsia="宋体" w:cs="宋体"/>
          <w:color w:val="auto"/>
        </w:rPr>
        <w:t>密封性差、安全附件不齐、低温、高温、</w:t>
      </w:r>
      <w:r>
        <w:rPr>
          <w:rFonts w:hint="eastAsia" w:ascii="宋体" w:hAnsi="宋体" w:eastAsia="宋体" w:cs="宋体"/>
          <w:color w:val="auto"/>
          <w:szCs w:val="21"/>
        </w:rPr>
        <w:t>穿孔、破裂、泄漏、火灾、爆炸、窒息、中毒的</w:t>
      </w:r>
      <w:r>
        <w:rPr>
          <w:rFonts w:hint="eastAsia" w:ascii="宋体" w:hAnsi="宋体" w:eastAsia="宋体" w:cs="宋体"/>
          <w:color w:val="auto"/>
        </w:rPr>
        <w:t>危险、有害因素。</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1"/>
          <w:lang w:val="zh-CN"/>
        </w:rPr>
      </w:pPr>
      <w:bookmarkStart w:id="228" w:name="_Toc18461_WPSOffice_Level3"/>
      <w:bookmarkStart w:id="229" w:name="_Toc11160"/>
      <w:bookmarkStart w:id="230" w:name="_Toc525109153"/>
      <w:bookmarkStart w:id="231" w:name="_Toc204429172"/>
      <w:r>
        <w:rPr>
          <w:rFonts w:hint="eastAsia" w:ascii="宋体" w:hAnsi="宋体" w:eastAsia="宋体" w:cs="宋体"/>
          <w:color w:val="auto"/>
          <w:szCs w:val="21"/>
        </w:rPr>
        <w:t>二</w:t>
      </w:r>
      <w:r>
        <w:rPr>
          <w:rFonts w:hint="eastAsia" w:ascii="宋体" w:hAnsi="宋体" w:eastAsia="宋体" w:cs="宋体"/>
          <w:color w:val="auto"/>
          <w:szCs w:val="21"/>
          <w:lang w:val="zh-CN"/>
        </w:rPr>
        <w:t>、</w:t>
      </w:r>
      <w:bookmarkEnd w:id="228"/>
      <w:r>
        <w:rPr>
          <w:rFonts w:hint="eastAsia" w:ascii="宋体" w:hAnsi="宋体" w:eastAsia="宋体" w:cs="宋体"/>
          <w:color w:val="auto"/>
          <w:szCs w:val="21"/>
          <w:lang w:val="zh-CN"/>
        </w:rPr>
        <w:t>循环泵</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1"/>
          <w:lang w:val="zh-CN"/>
        </w:rPr>
      </w:pPr>
      <w:r>
        <w:rPr>
          <w:rFonts w:hint="eastAsia" w:ascii="宋体" w:hAnsi="宋体" w:eastAsia="宋体" w:cs="宋体"/>
          <w:color w:val="auto"/>
          <w:szCs w:val="21"/>
          <w:lang w:val="zh-CN"/>
        </w:rPr>
        <w:t>本项目设备中涉及有各种循环泵等，这些设备的危险性有：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1"/>
          <w:lang w:val="zh-CN"/>
        </w:rPr>
      </w:pPr>
      <w:r>
        <w:rPr>
          <w:rFonts w:hint="eastAsia" w:ascii="宋体" w:hAnsi="宋体" w:eastAsia="宋体" w:cs="宋体"/>
          <w:color w:val="auto"/>
          <w:szCs w:val="21"/>
        </w:rPr>
        <w:t>1）</w:t>
      </w:r>
      <w:r>
        <w:rPr>
          <w:rFonts w:hint="eastAsia" w:ascii="宋体" w:hAnsi="宋体" w:eastAsia="宋体" w:cs="宋体"/>
          <w:color w:val="auto"/>
          <w:szCs w:val="21"/>
          <w:lang w:val="zh-CN"/>
        </w:rPr>
        <w:t>设备选材不当、设计不合理等设备本身质量不合格会使设备不能承受工作压力发生容器爆炸事故。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1"/>
          <w:lang w:val="zh-CN"/>
        </w:rPr>
      </w:pPr>
      <w:r>
        <w:rPr>
          <w:rFonts w:hint="eastAsia" w:ascii="宋体" w:hAnsi="宋体" w:eastAsia="宋体" w:cs="宋体"/>
          <w:color w:val="auto"/>
          <w:szCs w:val="21"/>
          <w:lang w:val="zh-CN"/>
        </w:rPr>
        <w:t>2)设备超期未检修检测，带病运行或因操作失误等原因引起超压会因设备承受不了正常的工作压力而导致发生物理爆炸事故。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1"/>
          <w:lang w:val="zh-CN"/>
        </w:rPr>
      </w:pPr>
      <w:r>
        <w:rPr>
          <w:rFonts w:hint="eastAsia" w:ascii="宋体" w:hAnsi="宋体" w:eastAsia="宋体" w:cs="宋体"/>
          <w:color w:val="auto"/>
          <w:szCs w:val="21"/>
          <w:lang w:val="zh-CN"/>
        </w:rPr>
        <w:t>3)因这些设备内部的介质存在有毒有害介质，设备因腐蚀、人员误操作等原因导致泄漏会引起人员中毒。</w:t>
      </w:r>
      <w:r>
        <w:rPr>
          <w:rFonts w:hint="eastAsia" w:ascii="宋体" w:hAnsi="宋体" w:eastAsia="宋体" w:cs="宋体"/>
          <w:color w:val="auto"/>
          <w:szCs w:val="21"/>
          <w:lang w:val="zh-CN"/>
        </w:rPr>
        <w:t>另外氨水储罐的仪表如果选型不当</w:t>
      </w:r>
      <w:r>
        <w:rPr>
          <w:rFonts w:hint="eastAsia" w:ascii="宋体" w:hAnsi="宋体" w:eastAsia="宋体" w:cs="宋体"/>
          <w:color w:val="auto"/>
          <w:szCs w:val="21"/>
          <w:lang w:val="zh-CN"/>
        </w:rPr>
        <w:t>、插入深度不当，有可能反映不出真实数据而造成溢料、喷料、超温、导致中毒、灼伤、火灾爆炸等事故发生。</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
          <w:bCs/>
          <w:color w:val="auto"/>
          <w:szCs w:val="28"/>
          <w:lang w:val="zh-CN"/>
        </w:rPr>
      </w:pPr>
      <w:r>
        <w:rPr>
          <w:rFonts w:hint="eastAsia" w:ascii="宋体" w:hAnsi="宋体" w:eastAsia="宋体" w:cs="宋体"/>
          <w:color w:val="auto"/>
          <w:szCs w:val="28"/>
        </w:rPr>
        <w:t xml:space="preserve">    </w:t>
      </w:r>
      <w:bookmarkStart w:id="232" w:name="_Toc26253_WPSOffice_Level3"/>
      <w:r>
        <w:rPr>
          <w:rFonts w:hint="eastAsia" w:ascii="宋体" w:hAnsi="宋体" w:eastAsia="宋体" w:cs="宋体"/>
          <w:b/>
          <w:bCs/>
          <w:color w:val="auto"/>
          <w:szCs w:val="28"/>
          <w:lang w:val="zh-CN"/>
        </w:rPr>
        <w:t>三、</w:t>
      </w:r>
      <w:bookmarkStart w:id="233" w:name="_Toc240195067"/>
      <w:r>
        <w:rPr>
          <w:rFonts w:hint="eastAsia" w:ascii="宋体" w:hAnsi="宋体" w:eastAsia="宋体" w:cs="宋体"/>
          <w:b/>
          <w:bCs/>
          <w:color w:val="auto"/>
          <w:szCs w:val="28"/>
          <w:lang w:val="zh-CN"/>
        </w:rPr>
        <w:t>机泵</w:t>
      </w:r>
      <w:bookmarkEnd w:id="232"/>
      <w:bookmarkEnd w:id="233"/>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lang w:val="zh-CN"/>
        </w:rPr>
      </w:pPr>
      <w:r>
        <w:rPr>
          <w:rFonts w:hint="eastAsia" w:ascii="宋体" w:hAnsi="宋体" w:eastAsia="宋体" w:cs="宋体"/>
          <w:color w:val="auto"/>
          <w:szCs w:val="28"/>
        </w:rPr>
        <w:t xml:space="preserve">    </w:t>
      </w:r>
      <w:r>
        <w:rPr>
          <w:rFonts w:hint="eastAsia" w:ascii="宋体" w:hAnsi="宋体" w:eastAsia="宋体" w:cs="宋体"/>
          <w:color w:val="auto"/>
          <w:szCs w:val="28"/>
          <w:lang w:val="zh-CN"/>
        </w:rPr>
        <w:t>1)安全设施不足，联轴器等欠缺防护罩，可能引发机械伤害事故。</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lang w:val="zh-CN"/>
        </w:rPr>
      </w:pPr>
      <w:r>
        <w:rPr>
          <w:rFonts w:hint="eastAsia" w:ascii="宋体" w:hAnsi="宋体" w:eastAsia="宋体" w:cs="宋体"/>
          <w:color w:val="auto"/>
          <w:szCs w:val="28"/>
        </w:rPr>
        <w:t xml:space="preserve">    </w:t>
      </w:r>
      <w:r>
        <w:rPr>
          <w:rFonts w:hint="eastAsia" w:ascii="宋体" w:hAnsi="宋体" w:eastAsia="宋体" w:cs="宋体"/>
          <w:color w:val="auto"/>
          <w:szCs w:val="28"/>
          <w:lang w:val="zh-CN"/>
        </w:rPr>
        <w:t>2)设备本身设计制造不良，安装施工不当或欠缺维护保养等因素可能导致密封失效、从而发生泵体爆裂、介质泄漏、防爆性能降低等，并可能引发二次事故。</w:t>
      </w:r>
    </w:p>
    <w:p>
      <w:pPr>
        <w:pageBreakBefore w:val="0"/>
        <w:widowControl w:val="0"/>
        <w:kinsoku/>
        <w:wordWrap/>
        <w:overflowPunct/>
        <w:topLinePunct w:val="0"/>
        <w:autoSpaceDE/>
        <w:autoSpaceDN/>
        <w:bidi w:val="0"/>
        <w:adjustRightInd/>
        <w:snapToGrid/>
        <w:spacing w:line="600" w:lineRule="exact"/>
        <w:ind w:firstLine="560"/>
        <w:textAlignment w:val="auto"/>
        <w:rPr>
          <w:rFonts w:hint="eastAsia" w:ascii="宋体" w:hAnsi="宋体" w:eastAsia="宋体" w:cs="宋体"/>
          <w:color w:val="auto"/>
          <w:szCs w:val="28"/>
          <w:lang w:val="zh-CN"/>
        </w:rPr>
      </w:pPr>
      <w:r>
        <w:rPr>
          <w:rFonts w:hint="eastAsia" w:ascii="宋体" w:hAnsi="宋体" w:eastAsia="宋体" w:cs="宋体"/>
          <w:color w:val="auto"/>
          <w:szCs w:val="28"/>
          <w:lang w:val="zh-CN"/>
        </w:rPr>
        <w:t>3)通常阀门、法兰，泵密封部位等可能因安装质量，或垫片选型安装错误，或因交变温度使垫片松动等原因引致动、静密封失效泄漏,一旦发生泄漏，遇明火或高温表面，可引发火灾、爆炸等事故。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lang w:eastAsia="zh-CN"/>
        </w:rPr>
        <w:t>四、</w:t>
      </w:r>
      <w:r>
        <w:rPr>
          <w:rFonts w:hint="eastAsia" w:ascii="宋体" w:hAnsi="宋体" w:eastAsia="宋体" w:cs="宋体"/>
          <w:color w:val="auto"/>
        </w:rPr>
        <w:t>有限空间作业的危险性分析</w:t>
      </w:r>
      <w:r>
        <w:rPr>
          <w:rFonts w:hint="eastAsia" w:ascii="宋体" w:hAnsi="宋体" w:eastAsia="宋体" w:cs="宋体"/>
          <w:color w:val="auto"/>
        </w:rPr>
        <w:tab/>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kern w:val="28"/>
        </w:rPr>
      </w:pPr>
      <w:r>
        <w:rPr>
          <w:rFonts w:hint="eastAsia" w:ascii="宋体" w:hAnsi="宋体" w:eastAsia="宋体" w:cs="宋体"/>
          <w:color w:val="auto"/>
          <w:kern w:val="28"/>
        </w:rPr>
        <w:t>1</w:t>
      </w:r>
      <w:r>
        <w:rPr>
          <w:rFonts w:hint="eastAsia" w:ascii="宋体" w:hAnsi="宋体" w:eastAsia="宋体" w:cs="宋体"/>
          <w:color w:val="auto"/>
          <w:kern w:val="28"/>
        </w:rPr>
        <w:t>）凡是进入</w:t>
      </w:r>
      <w:r>
        <w:rPr>
          <w:rFonts w:hint="eastAsia" w:ascii="宋体" w:hAnsi="宋体" w:eastAsia="宋体" w:cs="宋体"/>
          <w:color w:val="auto"/>
          <w:kern w:val="28"/>
          <w:lang w:eastAsia="zh-CN"/>
        </w:rPr>
        <w:t>氨水储罐</w:t>
      </w:r>
      <w:r>
        <w:rPr>
          <w:rFonts w:hint="eastAsia" w:ascii="宋体" w:hAnsi="宋体" w:eastAsia="宋体" w:cs="宋体"/>
          <w:color w:val="auto"/>
          <w:kern w:val="28"/>
        </w:rPr>
        <w:t>或其他闭塞场所内进行检修作业都称为有限空间作业。这类场所的危险性较敞开空间大得多，主要是危险物质不易消散，易形成有毒窒息性气体。</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kern w:val="28"/>
        </w:rPr>
      </w:pPr>
      <w:r>
        <w:rPr>
          <w:rFonts w:hint="eastAsia" w:ascii="宋体" w:hAnsi="宋体" w:eastAsia="宋体" w:cs="宋体"/>
          <w:color w:val="auto"/>
          <w:kern w:val="28"/>
        </w:rPr>
        <w:t>2</w:t>
      </w:r>
      <w:r>
        <w:rPr>
          <w:rFonts w:hint="eastAsia" w:ascii="宋体" w:hAnsi="宋体" w:eastAsia="宋体" w:cs="宋体"/>
          <w:color w:val="auto"/>
          <w:kern w:val="28"/>
        </w:rPr>
        <w:t>）进行此类场所检查作业时，凡用惰性气体置换的，进入前必须用空气置换，并测定区域内空气中的氧含量或配备必要防护设备方可，否则易发生作业人员窒息事故。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kern w:val="28"/>
        </w:rPr>
      </w:pPr>
      <w:r>
        <w:rPr>
          <w:rFonts w:hint="eastAsia" w:ascii="宋体" w:hAnsi="宋体" w:eastAsia="宋体" w:cs="宋体"/>
          <w:color w:val="auto"/>
          <w:kern w:val="28"/>
        </w:rPr>
        <w:t>3</w:t>
      </w:r>
      <w:r>
        <w:rPr>
          <w:rFonts w:hint="eastAsia" w:ascii="宋体" w:hAnsi="宋体" w:eastAsia="宋体" w:cs="宋体"/>
          <w:color w:val="auto"/>
          <w:kern w:val="28"/>
        </w:rPr>
        <w:t>）切断电源，并上锁或挂警告牌，以确保检修中不能启动机械设备，否则将造成机毁人亡惨剧。</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kern w:val="28"/>
        </w:rPr>
      </w:pPr>
      <w:r>
        <w:rPr>
          <w:rFonts w:hint="eastAsia" w:ascii="宋体" w:hAnsi="宋体" w:eastAsia="宋体" w:cs="宋体"/>
          <w:color w:val="auto"/>
          <w:kern w:val="28"/>
        </w:rPr>
        <w:t>4</w:t>
      </w:r>
      <w:r>
        <w:rPr>
          <w:rFonts w:hint="eastAsia" w:ascii="宋体" w:hAnsi="宋体" w:eastAsia="宋体" w:cs="宋体"/>
          <w:color w:val="auto"/>
          <w:kern w:val="28"/>
        </w:rPr>
        <w:t>）有限作业场所作业照明、作业的电动工具必须使用安全电压，符合相应的防爆要求。否则易造成触电、火灾爆炸事故。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kern w:val="28"/>
        </w:rPr>
      </w:pPr>
      <w:r>
        <w:rPr>
          <w:rFonts w:hint="eastAsia" w:ascii="宋体" w:hAnsi="宋体" w:eastAsia="宋体" w:cs="宋体"/>
          <w:color w:val="auto"/>
          <w:kern w:val="28"/>
        </w:rPr>
        <w:t>6</w:t>
      </w:r>
      <w:r>
        <w:rPr>
          <w:rFonts w:hint="eastAsia" w:ascii="宋体" w:hAnsi="宋体" w:eastAsia="宋体" w:cs="宋体"/>
          <w:color w:val="auto"/>
          <w:kern w:val="28"/>
        </w:rPr>
        <w:t>）应根据作业空间形状、危险性大小和介质性质，作业前做好个体防护和相应的急救准备工作，否则易引发多类事故。</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234" w:name="_Toc12322"/>
      <w:bookmarkStart w:id="235" w:name="_Toc6461"/>
      <w:r>
        <w:rPr>
          <w:rFonts w:hint="eastAsia" w:ascii="宋体" w:hAnsi="宋体" w:eastAsia="宋体" w:cs="宋体"/>
          <w:color w:val="auto"/>
          <w:sz w:val="30"/>
          <w:szCs w:val="30"/>
        </w:rPr>
        <w:t>3.6危险、危害产生的原因分析</w:t>
      </w:r>
      <w:bookmarkEnd w:id="229"/>
      <w:bookmarkEnd w:id="230"/>
      <w:bookmarkEnd w:id="234"/>
      <w:bookmarkEnd w:id="235"/>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危险危害产生的根本原因就是失控，主要体现在设备故障或缺陷，管理缺陷，人员失误，环境不良等几个方面。</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1、设备故障或缺陷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szCs w:val="28"/>
        </w:rPr>
        <w:t>装置的设备，元件在运行过程中因性能不能满足生产的需要，实现</w:t>
      </w:r>
      <w:r>
        <w:rPr>
          <w:rFonts w:hint="eastAsia" w:ascii="宋体" w:hAnsi="宋体" w:eastAsia="宋体" w:cs="宋体"/>
          <w:color w:val="auto"/>
        </w:rPr>
        <w:t>预定的功能，就会发生故障而导致危险事故的发生。如容器的材质，密封等；电气设备绝缘，保护装置失效等造成漏电；静电接地，防雷接地不良等都会造成事故的发生。另外，运行设备发生异常没有及时处理，造成设备损坏，工艺控制条件不当引起正常生产条件破坏，都可能造成事故的发生。</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2、管理缺陷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安全管理机构不健全，安全管理制度执行不力，安全检查流于形式等；职工的安全教育、培训不到位；安全技术措施不能满足生产的需要，安全设施没有认真维护、检验；劳动保护措施没有认真落实，劳动保护用品及防护用品不能正常发放或正确穿戴等。都可能造成事故的发生。</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3、人员失误</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生产操作时由于人的不安全行为可能产生不良后果，如防爆区域内使用产生火花的工具，电工带负荷拉闸引起电弧等。人的不安全行为大致可分为操作失误造成安全附件失效；使用不安全工具、设备；冒险进入危险场所；不安全着装，攀坐不安全位置；不遵守安全规程；现场吸烟，精神不集中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4、环境不良</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rPr>
      </w:pPr>
      <w:r>
        <w:rPr>
          <w:rFonts w:hint="eastAsia" w:ascii="宋体" w:hAnsi="宋体" w:eastAsia="宋体" w:cs="宋体"/>
          <w:color w:val="auto"/>
        </w:rPr>
        <w:t>环境的影响主要有两个方面，一是现场作业环境，如空间，照明、通风、管道标色等，可能造成危险危害因素的发生。另一方面，外部环境如暴风雨等自然条件影响，也可能引起危险危害因素的发生。</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236" w:name="_Toc21845"/>
      <w:bookmarkStart w:id="237" w:name="_Toc525109154"/>
      <w:bookmarkStart w:id="238" w:name="_Toc355615951"/>
      <w:bookmarkStart w:id="239" w:name="_Toc23360"/>
      <w:bookmarkStart w:id="240" w:name="_Toc24030"/>
      <w:r>
        <w:rPr>
          <w:rFonts w:hint="eastAsia" w:ascii="宋体" w:hAnsi="宋体" w:eastAsia="宋体" w:cs="宋体"/>
          <w:color w:val="auto"/>
          <w:sz w:val="30"/>
          <w:szCs w:val="30"/>
        </w:rPr>
        <w:t>3.7作业环境危险性分析</w:t>
      </w:r>
      <w:bookmarkEnd w:id="236"/>
      <w:bookmarkEnd w:id="237"/>
      <w:bookmarkEnd w:id="238"/>
      <w:bookmarkEnd w:id="239"/>
      <w:bookmarkEnd w:id="240"/>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作业环境的危险主要表现在两个方面。</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一是作业环境，如温度、湿度、通风、照明、噪声、色彩等。如温度、湿度、噪声、色彩等可能造成人的身体状况不良，注意力不集中，影响对周围情况的判断力，从而造成误操作或对故障处理不当引发危险的发生；如通风不良可能造成易燃、有毒有害物质的积聚而引发事故；如照明不良则可能造成人员因视线不清而发生摔跌或误操作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另一方面是外部环境如炎热、暴风雨等。如炎热可能使人体对有毒物质更敏感；暴风雨可能造成雷击伤人或损坏设备事故，也可能引发火灾、爆炸事故，或造成房屋损坏。另外，还可能因雷雨造成设备电气绝缘下降以致发生事故。</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241" w:name="_Toc274377397"/>
      <w:bookmarkStart w:id="242" w:name="_Toc349506714"/>
      <w:bookmarkStart w:id="243" w:name="_Toc313574245"/>
      <w:bookmarkStart w:id="244" w:name="_Toc342424380"/>
      <w:bookmarkStart w:id="245" w:name="_Toc355615952"/>
      <w:bookmarkStart w:id="246" w:name="_Toc12997"/>
      <w:bookmarkStart w:id="247" w:name="_Toc327710568"/>
      <w:bookmarkStart w:id="248" w:name="_Toc525109155"/>
      <w:bookmarkStart w:id="249" w:name="_Toc31120"/>
      <w:bookmarkStart w:id="250" w:name="_Toc9233"/>
      <w:r>
        <w:rPr>
          <w:rFonts w:hint="eastAsia" w:ascii="宋体" w:hAnsi="宋体" w:eastAsia="宋体" w:cs="宋体"/>
          <w:color w:val="auto"/>
          <w:sz w:val="30"/>
          <w:szCs w:val="30"/>
        </w:rPr>
        <w:t>3.8安全管理缺陷分析</w:t>
      </w:r>
      <w:bookmarkEnd w:id="241"/>
      <w:bookmarkEnd w:id="242"/>
      <w:bookmarkEnd w:id="243"/>
      <w:bookmarkEnd w:id="244"/>
      <w:bookmarkEnd w:id="245"/>
      <w:bookmarkEnd w:id="246"/>
      <w:bookmarkEnd w:id="247"/>
      <w:bookmarkEnd w:id="248"/>
      <w:bookmarkEnd w:id="249"/>
      <w:bookmarkEnd w:id="250"/>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安全生产管理的缺陷往往导致物(物料、设施、设备)的不安全状态和人的不安全行为，虽不是导致事故的直接原因，但却是本质原因。</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安全生产管理和监督上的缺陷主要体现在</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（1）安全管理不科学，机构不健全，安全责任不明确，安全管理规章制度不健全或执行不力；</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（2）安全教育和技术培训不足或流于形式，对职工教育不严格，劳动纪律松驰，对新工人的安全教育培训不落实；</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（3）忽视防护设施，设备无防护装置，安全信号失灵。通风照明不合要求，安全工具不齐备，存在隐患未及时消除；</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（4）用人单位的缺陷，如人事安排不合理、负荷超限、无必要的监督和联络、禁忌作业等。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5）违反人机工程原理，如使用的机器不适合人生理或心理特点，此外，一些客观因素，如温度、湿度、风雨雪、照明、视野、噪声、振动、通风气、色彩等也会引起设备故障或人员失误，是导致危险、有害、物质和量失控的间接因素；</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（6）事故报告不及时，调查、处理不当等，事故应急救援预案不落实。</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安全生产管理主要体现在安全生产管理机构或专(兼)职安全生产管人员的配置，安全生产责任制和安全生产管理规章制度的制定和执行，职工安全生产教育及培训的程度，安全设施的配置及维护，劳动防护用品发放及使用，安全投入的保障等方面。管理缺陷可能造成设备故障(缺陷)不能及时发现处理，设备长期得不到维护、检修或检修质量不能保证，安全设施、防护用品(用具)不能正常发挥作用而引发事故，或因管理松懈使人员失误增多等。管理缺陷通常表现为违章指挥、违章作业、违反劳动纪律以及物的不安全状态不能及时得到消除，隐患得不到及时整改等，从而使危险因素转化为事故。</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安全生产管理缺陷主要依靠健全安全管理机构、完善安全管理规章制度并严格执行，加强员工职业技能培训和安全知识教育培训，提高员工的整体素质来消除。</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251" w:name="_Toc349506715"/>
      <w:bookmarkStart w:id="252" w:name="_Toc355615953"/>
      <w:bookmarkStart w:id="253" w:name="_Toc525109156"/>
      <w:bookmarkStart w:id="254" w:name="_Toc17523"/>
      <w:bookmarkStart w:id="255" w:name="_Toc301966478"/>
      <w:bookmarkStart w:id="256" w:name="_Toc274377398"/>
      <w:bookmarkStart w:id="257" w:name="_Toc27860"/>
      <w:bookmarkStart w:id="258" w:name="_Toc4577"/>
      <w:r>
        <w:rPr>
          <w:rFonts w:hint="eastAsia" w:ascii="宋体" w:hAnsi="宋体" w:eastAsia="宋体" w:cs="宋体"/>
          <w:color w:val="auto"/>
          <w:sz w:val="30"/>
          <w:szCs w:val="30"/>
        </w:rPr>
        <w:t>3.9自然危害因素</w:t>
      </w:r>
      <w:bookmarkEnd w:id="251"/>
      <w:bookmarkEnd w:id="252"/>
      <w:bookmarkEnd w:id="253"/>
      <w:bookmarkEnd w:id="254"/>
      <w:bookmarkEnd w:id="255"/>
      <w:bookmarkEnd w:id="256"/>
      <w:bookmarkEnd w:id="257"/>
      <w:bookmarkEnd w:id="258"/>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lang w:val="zh-CN"/>
        </w:rPr>
      </w:pPr>
      <w:bookmarkStart w:id="259" w:name="_Toc216514647"/>
      <w:bookmarkStart w:id="260" w:name="_Toc226741668"/>
      <w:bookmarkStart w:id="261" w:name="_Toc339379198"/>
      <w:bookmarkStart w:id="262" w:name="_Toc274377403"/>
      <w:bookmarkStart w:id="263" w:name="_Toc342424384"/>
      <w:bookmarkStart w:id="264" w:name="_Toc312706608"/>
      <w:bookmarkStart w:id="265" w:name="_Toc327710572"/>
      <w:bookmarkStart w:id="266" w:name="_Toc349506720"/>
      <w:r>
        <w:rPr>
          <w:rFonts w:hint="eastAsia" w:ascii="宋体" w:hAnsi="宋体" w:eastAsia="宋体" w:cs="宋体"/>
          <w:b w:val="0"/>
          <w:color w:val="auto"/>
          <w:szCs w:val="28"/>
          <w:lang w:val="zh-CN"/>
        </w:rPr>
        <w:t>3.9.1地质灾害</w:t>
      </w:r>
      <w:bookmarkEnd w:id="259"/>
      <w:bookmarkEnd w:id="260"/>
      <w:bookmarkEnd w:id="261"/>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bookmarkStart w:id="267" w:name="_Toc226741669"/>
      <w:bookmarkStart w:id="268" w:name="_Toc216514648"/>
      <w:bookmarkStart w:id="269" w:name="_Toc339379199"/>
      <w:r>
        <w:rPr>
          <w:rFonts w:hint="eastAsia" w:ascii="宋体" w:hAnsi="宋体" w:eastAsia="宋体" w:cs="宋体"/>
          <w:color w:val="auto"/>
          <w:szCs w:val="28"/>
        </w:rPr>
        <w:t>自然变异和人为作用都有可能导致地质环境或地质体发生变化，当这种变化达到一定程度时，便给人类和社会造成危害，即地质灾害，如地震、崩塌、滑坡、泥石流、地面沉降、地面坍塌等。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1)地震</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bCs/>
          <w:color w:val="auto"/>
          <w:szCs w:val="28"/>
        </w:rPr>
      </w:pPr>
      <w:r>
        <w:rPr>
          <w:rFonts w:hint="eastAsia" w:ascii="宋体" w:hAnsi="宋体" w:eastAsia="宋体" w:cs="宋体"/>
          <w:bCs/>
          <w:color w:val="auto"/>
          <w:szCs w:val="28"/>
        </w:rPr>
        <w:t>地震是一种能产生巨大破坏作用的自然现象，对建筑物破坏作用明显，威胁设备、人员的安全。预防地震危害发生主要措施是根据地质特点合理设防，</w:t>
      </w:r>
      <w:r>
        <w:rPr>
          <w:rFonts w:hint="eastAsia" w:ascii="宋体" w:hAnsi="宋体" w:eastAsia="宋体" w:cs="宋体"/>
          <w:bCs/>
          <w:color w:val="auto"/>
          <w:szCs w:val="28"/>
          <w:lang w:eastAsia="zh-CN"/>
        </w:rPr>
        <w:t>该项目</w:t>
      </w:r>
      <w:r>
        <w:rPr>
          <w:rFonts w:hint="eastAsia" w:ascii="宋体" w:hAnsi="宋体" w:eastAsia="宋体" w:cs="宋体"/>
          <w:bCs/>
          <w:color w:val="auto"/>
          <w:szCs w:val="28"/>
        </w:rPr>
        <w:t>按Ⅵ度进行抗震建设的。</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bCs/>
          <w:color w:val="auto"/>
          <w:szCs w:val="28"/>
        </w:rPr>
      </w:pPr>
      <w:r>
        <w:rPr>
          <w:rFonts w:hint="eastAsia" w:ascii="宋体" w:hAnsi="宋体" w:eastAsia="宋体" w:cs="宋体"/>
          <w:bCs/>
          <w:color w:val="auto"/>
          <w:szCs w:val="28"/>
        </w:rPr>
        <w:t>2)不良地质</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bCs/>
          <w:color w:val="auto"/>
          <w:szCs w:val="28"/>
        </w:rPr>
        <w:t>不良地质对建筑物的破坏作用较大，影响人员的安全，本项目厂区场地与地基稳定，无不良地质作用存在。</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lang w:val="zh-CN"/>
        </w:rPr>
      </w:pPr>
      <w:r>
        <w:rPr>
          <w:rFonts w:hint="eastAsia" w:ascii="宋体" w:hAnsi="宋体" w:eastAsia="宋体" w:cs="宋体"/>
          <w:b w:val="0"/>
          <w:color w:val="auto"/>
          <w:szCs w:val="28"/>
          <w:lang w:val="zh-CN"/>
        </w:rPr>
        <w:t>3.9.2气候灾害</w:t>
      </w:r>
      <w:bookmarkEnd w:id="267"/>
      <w:bookmarkEnd w:id="268"/>
      <w:bookmarkEnd w:id="269"/>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由于大气作用对人类生命财产、国民经济建设和国防建设等所造成的损害，称为气候灾害，包括干旱、寒潮、雷电、低温、雪暴、大雾、洪水、台风等。</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雷电是一种自然现象，能破坏建筑物和设备，并可导致火灾和爆炸事故，其出现的机会不多，作用时间短暂。因此，具有突发性，指损害程度不确定性。项目所在地位于南方多雷雨地区，存在高大建(构)筑物或设施，如办公楼、调度控制中心、通信塔等。如果这些设备设施的防雷设施未设置、设置不合理，或防雷设施损坏未及时进行修复，将造成直接雷击破坏。对于电气设施，如果接地不良、布线错误，各供电线路、电源线、信号线、通信线、馈线未安装相应的避雷器或未采取屏蔽措施，将有可能遭受感应雷击，造成电力、电气系统损害。</w:t>
      </w:r>
    </w:p>
    <w:bookmarkEnd w:id="262"/>
    <w:bookmarkEnd w:id="263"/>
    <w:bookmarkEnd w:id="264"/>
    <w:bookmarkEnd w:id="265"/>
    <w:bookmarkEnd w:id="266"/>
    <w:p>
      <w:pPr>
        <w:pStyle w:val="7"/>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color w:val="auto"/>
        </w:rPr>
      </w:pPr>
      <w:bookmarkStart w:id="270" w:name="_Toc9114"/>
      <w:bookmarkStart w:id="271" w:name="_Toc525109157"/>
      <w:bookmarkStart w:id="272" w:name="_Toc24799"/>
      <w:bookmarkStart w:id="273" w:name="_Toc20772"/>
      <w:r>
        <w:rPr>
          <w:rFonts w:hint="eastAsia" w:ascii="宋体" w:hAnsi="宋体" w:eastAsia="宋体" w:cs="宋体"/>
          <w:color w:val="auto"/>
        </w:rPr>
        <w:t>3.10危险、有害因素分布</w:t>
      </w:r>
      <w:bookmarkEnd w:id="231"/>
      <w:bookmarkEnd w:id="270"/>
      <w:bookmarkEnd w:id="271"/>
      <w:bookmarkEnd w:id="272"/>
      <w:bookmarkEnd w:id="273"/>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该</w:t>
      </w:r>
      <w:r>
        <w:rPr>
          <w:rFonts w:hint="eastAsia" w:ascii="宋体" w:hAnsi="宋体" w:eastAsia="宋体" w:cs="宋体"/>
          <w:color w:val="auto"/>
          <w:szCs w:val="28"/>
          <w:lang w:val="en-US" w:eastAsia="zh-CN"/>
        </w:rPr>
        <w:t>项目</w:t>
      </w:r>
      <w:r>
        <w:rPr>
          <w:rFonts w:hint="eastAsia" w:ascii="宋体" w:hAnsi="宋体" w:eastAsia="宋体" w:cs="宋体"/>
          <w:color w:val="auto"/>
          <w:szCs w:val="28"/>
        </w:rPr>
        <w:t>最主要的危险、有害因素是火灾、</w:t>
      </w:r>
      <w:r>
        <w:rPr>
          <w:rFonts w:hint="eastAsia" w:ascii="宋体" w:hAnsi="宋体" w:eastAsia="宋体" w:cs="宋体"/>
          <w:color w:val="auto"/>
          <w:szCs w:val="28"/>
          <w:lang w:eastAsia="zh-CN"/>
        </w:rPr>
        <w:t>中毒</w:t>
      </w:r>
      <w:r>
        <w:rPr>
          <w:rFonts w:hint="eastAsia" w:ascii="宋体" w:hAnsi="宋体" w:eastAsia="宋体" w:cs="宋体"/>
          <w:color w:val="auto"/>
          <w:szCs w:val="28"/>
        </w:rPr>
        <w:t>；同时有电气伤害、机械伤害、车辆伤害、高处坠落、噪声、</w:t>
      </w:r>
      <w:r>
        <w:rPr>
          <w:rFonts w:hint="eastAsia" w:ascii="宋体" w:hAnsi="宋体" w:eastAsia="宋体" w:cs="宋体"/>
          <w:color w:val="auto"/>
          <w:szCs w:val="28"/>
          <w:lang w:eastAsia="zh-CN"/>
        </w:rPr>
        <w:t>灼伤</w:t>
      </w:r>
      <w:r>
        <w:rPr>
          <w:rFonts w:hint="eastAsia" w:ascii="宋体" w:hAnsi="宋体" w:eastAsia="宋体" w:cs="宋体"/>
          <w:color w:val="auto"/>
          <w:szCs w:val="28"/>
        </w:rPr>
        <w:t>、窒息</w:t>
      </w:r>
      <w:r>
        <w:rPr>
          <w:rFonts w:hint="eastAsia" w:ascii="宋体" w:hAnsi="宋体" w:eastAsia="宋体" w:cs="宋体"/>
          <w:color w:val="auto"/>
          <w:szCs w:val="28"/>
          <w:lang w:eastAsia="zh-CN"/>
        </w:rPr>
        <w:t>、坍塌</w:t>
      </w:r>
      <w:r>
        <w:rPr>
          <w:rFonts w:hint="eastAsia" w:ascii="宋体" w:hAnsi="宋体" w:eastAsia="宋体" w:cs="宋体"/>
          <w:color w:val="auto"/>
          <w:szCs w:val="28"/>
        </w:rPr>
        <w:t>等危险、有害因素。其汇总情况见下表：</w:t>
      </w:r>
    </w:p>
    <w:p>
      <w:pPr>
        <w:pageBreakBefore w:val="0"/>
        <w:widowControl w:val="0"/>
        <w:kinsoku/>
        <w:wordWrap/>
        <w:overflowPunct/>
        <w:topLinePunct w:val="0"/>
        <w:autoSpaceDE/>
        <w:autoSpaceDN/>
        <w:bidi w:val="0"/>
        <w:adjustRightInd/>
        <w:snapToGrid/>
        <w:spacing w:line="600" w:lineRule="exact"/>
        <w:ind w:firstLine="504" w:firstLineChars="200"/>
        <w:jc w:val="center"/>
        <w:textAlignment w:val="auto"/>
        <w:rPr>
          <w:rStyle w:val="40"/>
          <w:rFonts w:hint="eastAsia" w:ascii="宋体" w:hAnsi="宋体" w:eastAsia="宋体" w:cs="宋体"/>
          <w:bCs/>
          <w:color w:val="auto"/>
        </w:rPr>
      </w:pPr>
      <w:r>
        <w:rPr>
          <w:rStyle w:val="40"/>
          <w:rFonts w:hint="eastAsia" w:ascii="宋体" w:hAnsi="宋体" w:eastAsia="宋体" w:cs="宋体"/>
          <w:bCs/>
          <w:color w:val="auto"/>
        </w:rPr>
        <w:t>表3.11-1  主要危险和有害因素</w:t>
      </w:r>
    </w:p>
    <w:tbl>
      <w:tblPr>
        <w:tblStyle w:val="28"/>
        <w:tblW w:w="4996" w:type="pct"/>
        <w:jc w:val="center"/>
        <w:tblBorders>
          <w:top w:val="single" w:color="auto" w:sz="6"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207"/>
        <w:gridCol w:w="484"/>
        <w:gridCol w:w="525"/>
        <w:gridCol w:w="475"/>
        <w:gridCol w:w="508"/>
        <w:gridCol w:w="563"/>
        <w:gridCol w:w="563"/>
        <w:gridCol w:w="563"/>
        <w:gridCol w:w="563"/>
        <w:gridCol w:w="487"/>
        <w:gridCol w:w="76"/>
        <w:gridCol w:w="563"/>
        <w:gridCol w:w="563"/>
        <w:gridCol w:w="563"/>
        <w:gridCol w:w="579"/>
      </w:tblGrid>
      <w:tr>
        <w:tblPrEx>
          <w:tblBorders>
            <w:top w:val="single" w:color="auto" w:sz="6"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6" w:hRule="atLeast"/>
          <w:tblHeader/>
          <w:jc w:val="center"/>
        </w:trPr>
        <w:tc>
          <w:tcPr>
            <w:tcW w:w="1188" w:type="pct"/>
            <w:vMerge w:val="restar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危险有害因素</w:t>
            </w:r>
          </w:p>
          <w:p>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zh-CN"/>
              </w:rPr>
              <w:t>存在场所</w:t>
            </w:r>
          </w:p>
        </w:tc>
        <w:tc>
          <w:tcPr>
            <w:tcW w:w="2548" w:type="pct"/>
            <w:gridSpan w:val="9"/>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危险因素</w:t>
            </w:r>
          </w:p>
        </w:tc>
        <w:tc>
          <w:tcPr>
            <w:tcW w:w="1262" w:type="pct"/>
            <w:gridSpan w:val="5"/>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有害因素</w:t>
            </w:r>
          </w:p>
        </w:tc>
      </w:tr>
      <w:tr>
        <w:tblPrEx>
          <w:tblBorders>
            <w:top w:val="single" w:color="auto" w:sz="6"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45" w:hRule="atLeast"/>
          <w:tblHeader/>
          <w:jc w:val="center"/>
        </w:trPr>
        <w:tc>
          <w:tcPr>
            <w:tcW w:w="1188" w:type="pct"/>
            <w:vMerge w:val="continue"/>
            <w:tcBorders>
              <w:tl2br w:val="nil"/>
              <w:tr2bl w:val="nil"/>
            </w:tcBorders>
            <w:vAlign w:val="center"/>
          </w:tcPr>
          <w:p>
            <w:pPr>
              <w:spacing w:line="240" w:lineRule="auto"/>
              <w:rPr>
                <w:rFonts w:hint="eastAsia" w:ascii="宋体" w:hAnsi="宋体" w:eastAsia="宋体" w:cs="宋体"/>
                <w:color w:val="auto"/>
                <w:sz w:val="21"/>
                <w:szCs w:val="21"/>
              </w:rPr>
            </w:pPr>
          </w:p>
        </w:tc>
        <w:tc>
          <w:tcPr>
            <w:tcW w:w="260"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火</w:t>
            </w:r>
          </w:p>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灾</w:t>
            </w:r>
          </w:p>
        </w:tc>
        <w:tc>
          <w:tcPr>
            <w:tcW w:w="282"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中毒</w:t>
            </w:r>
          </w:p>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窒息</w:t>
            </w:r>
          </w:p>
        </w:tc>
        <w:tc>
          <w:tcPr>
            <w:tcW w:w="255"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爆炸</w:t>
            </w:r>
          </w:p>
        </w:tc>
        <w:tc>
          <w:tcPr>
            <w:tcW w:w="273" w:type="pct"/>
            <w:tcBorders>
              <w:tl2br w:val="nil"/>
              <w:tr2bl w:val="nil"/>
            </w:tcBorders>
            <w:vAlign w:val="center"/>
          </w:tcPr>
          <w:p>
            <w:pPr>
              <w:spacing w:line="240" w:lineRule="auto"/>
              <w:rPr>
                <w:rFonts w:hint="eastAsia" w:ascii="宋体" w:hAnsi="宋体" w:eastAsia="宋体" w:cs="宋体"/>
                <w:color w:val="auto"/>
                <w:sz w:val="21"/>
                <w:szCs w:val="21"/>
                <w:u w:val="single"/>
                <w:lang w:val="zh-CN"/>
              </w:rPr>
            </w:pPr>
            <w:r>
              <w:rPr>
                <w:rFonts w:hint="eastAsia" w:ascii="宋体" w:hAnsi="宋体" w:eastAsia="宋体" w:cs="宋体"/>
                <w:color w:val="auto"/>
                <w:sz w:val="21"/>
                <w:szCs w:val="21"/>
                <w:lang w:val="zh-CN"/>
              </w:rPr>
              <w:t>灼</w:t>
            </w:r>
          </w:p>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烫</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坍塌</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机械伤害</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触电</w:t>
            </w:r>
          </w:p>
          <w:p>
            <w:pPr>
              <w:spacing w:line="240" w:lineRule="auto"/>
              <w:rPr>
                <w:rFonts w:hint="eastAsia" w:ascii="宋体" w:hAnsi="宋体" w:eastAsia="宋体" w:cs="宋体"/>
                <w:color w:val="auto"/>
                <w:sz w:val="21"/>
                <w:szCs w:val="21"/>
                <w:lang w:val="zh-CN"/>
              </w:rPr>
            </w:pP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物体打击</w:t>
            </w:r>
          </w:p>
        </w:tc>
        <w:tc>
          <w:tcPr>
            <w:tcW w:w="303" w:type="pct"/>
            <w:gridSpan w:val="2"/>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有毒物质</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噪声</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振动</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高温</w:t>
            </w:r>
          </w:p>
        </w:tc>
        <w:tc>
          <w:tcPr>
            <w:tcW w:w="311"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低温</w:t>
            </w:r>
          </w:p>
        </w:tc>
      </w:tr>
      <w:tr>
        <w:tblPrEx>
          <w:tblBorders>
            <w:top w:val="single" w:color="auto" w:sz="6"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1" w:hRule="atLeast"/>
          <w:jc w:val="center"/>
        </w:trPr>
        <w:tc>
          <w:tcPr>
            <w:tcW w:w="1188" w:type="pct"/>
            <w:tcBorders>
              <w:tl2br w:val="nil"/>
              <w:tr2bl w:val="nil"/>
            </w:tcBorders>
            <w:vAlign w:val="center"/>
          </w:tcPr>
          <w:p>
            <w:pPr>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101外延芯片厂房</w:t>
            </w:r>
            <w:r>
              <w:rPr>
                <w:rFonts w:hint="eastAsia" w:ascii="宋体" w:hAnsi="宋体" w:eastAsia="宋体" w:cs="宋体"/>
                <w:color w:val="auto"/>
                <w:sz w:val="21"/>
                <w:szCs w:val="21"/>
                <w:lang w:eastAsia="zh-CN"/>
              </w:rPr>
              <w:t>（顶层氨水回收装置）</w:t>
            </w:r>
          </w:p>
        </w:tc>
        <w:tc>
          <w:tcPr>
            <w:tcW w:w="260"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282"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255"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27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gridSpan w:val="2"/>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11"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r>
      <w:tr>
        <w:tblPrEx>
          <w:tblBorders>
            <w:top w:val="single" w:color="auto" w:sz="6"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1" w:hRule="atLeast"/>
          <w:jc w:val="center"/>
        </w:trPr>
        <w:tc>
          <w:tcPr>
            <w:tcW w:w="1188" w:type="pct"/>
            <w:tcBorders>
              <w:tl2br w:val="nil"/>
              <w:tr2bl w:val="nil"/>
            </w:tcBorders>
            <w:vAlign w:val="center"/>
          </w:tcPr>
          <w:p>
            <w:pPr>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115废气车间（氨水储罐）</w:t>
            </w:r>
          </w:p>
        </w:tc>
        <w:tc>
          <w:tcPr>
            <w:tcW w:w="260"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282" w:type="pct"/>
            <w:tcBorders>
              <w:tl2br w:val="nil"/>
              <w:tr2bl w:val="nil"/>
            </w:tcBorders>
            <w:vAlign w:val="center"/>
          </w:tcPr>
          <w:p>
            <w:pPr>
              <w:spacing w:line="240" w:lineRule="auto"/>
              <w:rPr>
                <w:rFonts w:hint="eastAsia" w:ascii="宋体" w:hAnsi="宋体" w:eastAsia="宋体" w:cs="宋体"/>
                <w:color w:val="auto"/>
                <w:sz w:val="21"/>
                <w:szCs w:val="21"/>
                <w:lang w:val="zh-CN"/>
              </w:rPr>
            </w:pPr>
          </w:p>
        </w:tc>
        <w:tc>
          <w:tcPr>
            <w:tcW w:w="255" w:type="pct"/>
            <w:tcBorders>
              <w:tl2br w:val="nil"/>
              <w:tr2bl w:val="nil"/>
            </w:tcBorders>
            <w:vAlign w:val="center"/>
          </w:tcPr>
          <w:p>
            <w:pPr>
              <w:spacing w:line="240" w:lineRule="auto"/>
              <w:rPr>
                <w:rFonts w:hint="eastAsia" w:ascii="宋体" w:hAnsi="宋体" w:eastAsia="宋体" w:cs="宋体"/>
                <w:color w:val="auto"/>
                <w:sz w:val="21"/>
                <w:szCs w:val="21"/>
                <w:lang w:val="zh-CN"/>
              </w:rPr>
            </w:pPr>
          </w:p>
        </w:tc>
        <w:tc>
          <w:tcPr>
            <w:tcW w:w="27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gridSpan w:val="2"/>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03"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311" w:type="pct"/>
            <w:tcBorders>
              <w:tl2br w:val="nil"/>
              <w:tr2bl w:val="nil"/>
            </w:tcBorders>
            <w:vAlign w:val="center"/>
          </w:tcPr>
          <w:p>
            <w:pPr>
              <w:spacing w:line="24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r>
    </w:tbl>
    <w:p>
      <w:pPr>
        <w:pageBreakBefore w:val="0"/>
        <w:widowControl w:val="0"/>
        <w:kinsoku/>
        <w:wordWrap/>
        <w:overflowPunct/>
        <w:topLinePunct w:val="0"/>
        <w:autoSpaceDE/>
        <w:autoSpaceDN/>
        <w:bidi w:val="0"/>
        <w:adjustRightInd/>
        <w:snapToGrid/>
        <w:spacing w:line="600" w:lineRule="exact"/>
        <w:ind w:firstLine="720" w:firstLineChars="300"/>
        <w:textAlignment w:val="auto"/>
        <w:rPr>
          <w:rFonts w:hint="eastAsia" w:ascii="宋体" w:hAnsi="宋体" w:eastAsia="宋体" w:cs="宋体"/>
          <w:b/>
          <w:bCs/>
          <w:color w:val="auto"/>
          <w:sz w:val="32"/>
          <w:szCs w:val="32"/>
        </w:rPr>
      </w:pPr>
      <w:r>
        <w:rPr>
          <w:rFonts w:hint="eastAsia" w:ascii="宋体" w:hAnsi="宋体" w:eastAsia="宋体" w:cs="宋体"/>
          <w:color w:val="auto"/>
          <w:sz w:val="24"/>
        </w:rPr>
        <w:t>注：打“√”为危险、有害因素存在。</w:t>
      </w:r>
    </w:p>
    <w:p>
      <w:pPr>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
          <w:bCs/>
          <w:color w:val="auto"/>
          <w:kern w:val="44"/>
          <w:sz w:val="32"/>
          <w:szCs w:val="44"/>
        </w:rPr>
      </w:pPr>
      <w:bookmarkStart w:id="274" w:name="_Toc204429178"/>
      <w:r>
        <w:rPr>
          <w:rFonts w:hint="eastAsia" w:ascii="宋体" w:hAnsi="宋体" w:eastAsia="宋体" w:cs="宋体"/>
          <w:b/>
          <w:bCs/>
          <w:color w:val="auto"/>
          <w:kern w:val="44"/>
          <w:sz w:val="32"/>
          <w:szCs w:val="44"/>
        </w:rPr>
        <w:br w:type="page"/>
      </w:r>
    </w:p>
    <w:p>
      <w:pPr>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宋体" w:hAnsi="宋体" w:eastAsia="宋体" w:cs="宋体"/>
          <w:b/>
          <w:bCs/>
          <w:color w:val="auto"/>
          <w:kern w:val="44"/>
          <w:sz w:val="32"/>
          <w:szCs w:val="44"/>
        </w:rPr>
      </w:pPr>
      <w:bookmarkStart w:id="275" w:name="_Toc12781"/>
      <w:bookmarkStart w:id="276" w:name="_Toc23412"/>
      <w:r>
        <w:rPr>
          <w:rFonts w:hint="eastAsia" w:ascii="宋体" w:hAnsi="宋体" w:eastAsia="宋体" w:cs="宋体"/>
          <w:b/>
          <w:bCs/>
          <w:color w:val="auto"/>
          <w:kern w:val="44"/>
          <w:sz w:val="32"/>
          <w:szCs w:val="44"/>
        </w:rPr>
        <w:t>4评价方法的选择及评价单元划分</w:t>
      </w:r>
      <w:bookmarkEnd w:id="274"/>
      <w:bookmarkEnd w:id="275"/>
      <w:bookmarkEnd w:id="276"/>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277" w:name="_Toc13095"/>
      <w:bookmarkStart w:id="278" w:name="_Toc345084544"/>
      <w:bookmarkStart w:id="279" w:name="_Toc522"/>
      <w:bookmarkStart w:id="280" w:name="_Toc525109159"/>
      <w:bookmarkStart w:id="281" w:name="_Toc18230"/>
      <w:bookmarkStart w:id="282" w:name="_Toc204429179"/>
      <w:r>
        <w:rPr>
          <w:rFonts w:hint="eastAsia" w:ascii="宋体" w:hAnsi="宋体" w:eastAsia="宋体" w:cs="宋体"/>
          <w:color w:val="auto"/>
          <w:sz w:val="30"/>
          <w:szCs w:val="30"/>
        </w:rPr>
        <w:t>4.1划分评价单元及评价方法的确定</w:t>
      </w:r>
      <w:bookmarkEnd w:id="277"/>
      <w:bookmarkEnd w:id="278"/>
      <w:bookmarkEnd w:id="279"/>
      <w:bookmarkEnd w:id="280"/>
      <w:bookmarkEnd w:id="281"/>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rPr>
      </w:pPr>
      <w:r>
        <w:rPr>
          <w:rFonts w:hint="eastAsia" w:ascii="宋体" w:hAnsi="宋体" w:eastAsia="宋体" w:cs="宋体"/>
          <w:b w:val="0"/>
          <w:color w:val="auto"/>
          <w:szCs w:val="28"/>
        </w:rPr>
        <w:t>4.1.1评价单元划分原则</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 xml:space="preserve">评价单元是装置的一个独立的组成部分。一是指布置上的相对独立性，即与装置的其它部分之间有一定的安全距离。二是指工艺上的不同性，即一个单元在一般情况下是一种工艺，通过将装置划分为不同类型的单元，可对其不同危险特性分别进行评价，根据评价结果，有针对性地采取不同的安全对策措施，从而在确保安全的前提下节省投资。 </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根据建设单位提供的有关技术资料和工程的现场调研资料，在工程主要危险、危害因素分析的基础上，按生产工艺功能、生产设施设备相对空间位置、危险有害因素类别及事故范围划分评价单元，使评价单元相对独立，具有明显的特征界限。</w:t>
      </w:r>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rPr>
      </w:pPr>
      <w:bookmarkStart w:id="283" w:name="_Toc238875807"/>
      <w:bookmarkStart w:id="284" w:name="_Toc226003643"/>
      <w:bookmarkStart w:id="285" w:name="_Toc239869716"/>
      <w:r>
        <w:rPr>
          <w:rFonts w:hint="eastAsia" w:ascii="宋体" w:hAnsi="宋体" w:eastAsia="宋体" w:cs="宋体"/>
          <w:b w:val="0"/>
          <w:color w:val="auto"/>
          <w:szCs w:val="28"/>
        </w:rPr>
        <w:t>4.1.2确定本项目评价单元</w:t>
      </w:r>
      <w:bookmarkEnd w:id="283"/>
      <w:bookmarkEnd w:id="284"/>
      <w:bookmarkEnd w:id="285"/>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bookmarkStart w:id="286" w:name="_Toc238875809"/>
      <w:bookmarkStart w:id="287" w:name="_Toc226003645"/>
      <w:bookmarkStart w:id="288" w:name="_Toc239869718"/>
      <w:r>
        <w:rPr>
          <w:rFonts w:hint="eastAsia" w:ascii="宋体" w:hAnsi="宋体" w:eastAsia="宋体" w:cs="宋体"/>
          <w:color w:val="auto"/>
          <w:szCs w:val="28"/>
        </w:rPr>
        <w:t>本评价报告以功能为主，同时兼顾了功能区与设施的相对独立性原则，根据本项目的具体情况分成如下评价单元：</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bookmarkStart w:id="289" w:name="_Toc194722965"/>
      <w:bookmarkStart w:id="290" w:name="_Toc263866388"/>
      <w:bookmarkStart w:id="291" w:name="_Toc239869717"/>
      <w:bookmarkStart w:id="292" w:name="_Toc226003644"/>
      <w:bookmarkStart w:id="293" w:name="_Toc238875808"/>
      <w:bookmarkStart w:id="294" w:name="_Toc216763681"/>
      <w:bookmarkStart w:id="295" w:name="_Toc216763361"/>
      <w:bookmarkStart w:id="296" w:name="_Toc301523870"/>
      <w:bookmarkStart w:id="297" w:name="_Toc222717897"/>
      <w:bookmarkStart w:id="298" w:name="_Toc345084545"/>
      <w:bookmarkStart w:id="299" w:name="_Toc222718914"/>
      <w:r>
        <w:rPr>
          <w:rFonts w:hint="eastAsia" w:ascii="宋体" w:hAnsi="宋体" w:eastAsia="宋体" w:cs="宋体"/>
          <w:color w:val="auto"/>
          <w:szCs w:val="28"/>
        </w:rPr>
        <w:t>1）氨</w:t>
      </w:r>
      <w:r>
        <w:rPr>
          <w:rFonts w:hint="eastAsia" w:ascii="宋体" w:hAnsi="宋体" w:eastAsia="宋体" w:cs="宋体"/>
          <w:color w:val="auto"/>
          <w:szCs w:val="28"/>
          <w:lang w:val="en-US" w:eastAsia="zh-CN"/>
        </w:rPr>
        <w:t>水</w:t>
      </w:r>
      <w:r>
        <w:rPr>
          <w:rFonts w:hint="eastAsia" w:ascii="宋体" w:hAnsi="宋体" w:eastAsia="宋体" w:cs="宋体"/>
          <w:color w:val="auto"/>
          <w:szCs w:val="28"/>
        </w:rPr>
        <w:t>储罐区、工艺装置单元</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2）公用工程及辅助设施</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3）厂址、总平面布置及主要建(构)筑物</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4）安全管理</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300" w:name="_Toc525109160"/>
      <w:bookmarkStart w:id="301" w:name="_Toc7801"/>
      <w:bookmarkStart w:id="302" w:name="_Toc4666"/>
      <w:bookmarkStart w:id="303" w:name="_Toc16110"/>
      <w:r>
        <w:rPr>
          <w:rFonts w:hint="eastAsia" w:ascii="宋体" w:hAnsi="宋体" w:eastAsia="宋体" w:cs="宋体"/>
          <w:color w:val="auto"/>
          <w:sz w:val="30"/>
          <w:szCs w:val="30"/>
        </w:rPr>
        <w:t>4.2评价单元划分及方法选择</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0"/>
        </w:rPr>
      </w:pPr>
      <w:bookmarkStart w:id="304" w:name="_Toc301523871"/>
      <w:r>
        <w:rPr>
          <w:rFonts w:hint="eastAsia" w:ascii="宋体" w:hAnsi="宋体" w:eastAsia="宋体" w:cs="宋体"/>
          <w:color w:val="auto"/>
          <w:szCs w:val="20"/>
        </w:rPr>
        <w:t>本次评价根据公司的具体情况，确定评价单元的划分是以功能为主划分评价单元，然后以装置的特征来划分子单元。评价单元划分见表4.2-1。</w:t>
      </w:r>
    </w:p>
    <w:p>
      <w:pPr>
        <w:pageBreakBefore w:val="0"/>
        <w:widowControl w:val="0"/>
        <w:kinsoku/>
        <w:wordWrap/>
        <w:overflowPunct/>
        <w:topLinePunct w:val="0"/>
        <w:autoSpaceDE/>
        <w:autoSpaceDN/>
        <w:bidi w:val="0"/>
        <w:adjustRightInd/>
        <w:snapToGrid/>
        <w:spacing w:line="600" w:lineRule="exact"/>
        <w:ind w:firstLine="480" w:firstLineChars="200"/>
        <w:jc w:val="center"/>
        <w:textAlignment w:val="auto"/>
        <w:rPr>
          <w:rFonts w:hint="eastAsia" w:ascii="宋体" w:hAnsi="宋体" w:eastAsia="宋体" w:cs="宋体"/>
          <w:color w:val="auto"/>
          <w:sz w:val="24"/>
        </w:rPr>
      </w:pPr>
      <w:r>
        <w:rPr>
          <w:rFonts w:hint="eastAsia" w:ascii="宋体" w:hAnsi="宋体" w:eastAsia="宋体" w:cs="宋体"/>
          <w:color w:val="auto"/>
          <w:sz w:val="24"/>
        </w:rPr>
        <w:br w:type="page"/>
      </w:r>
      <w:r>
        <w:rPr>
          <w:rFonts w:hint="eastAsia" w:ascii="宋体" w:hAnsi="宋体" w:eastAsia="宋体" w:cs="宋体"/>
          <w:color w:val="auto"/>
          <w:sz w:val="24"/>
        </w:rPr>
        <w:t>表4.2-1  评价单元划分表</w:t>
      </w:r>
    </w:p>
    <w:tbl>
      <w:tblPr>
        <w:tblStyle w:val="28"/>
        <w:tblW w:w="0" w:type="auto"/>
        <w:tblInd w:w="-10" w:type="dxa"/>
        <w:tblLayout w:type="fixed"/>
        <w:tblCellMar>
          <w:top w:w="0" w:type="dxa"/>
          <w:left w:w="0" w:type="dxa"/>
          <w:bottom w:w="0" w:type="dxa"/>
          <w:right w:w="0" w:type="dxa"/>
        </w:tblCellMar>
      </w:tblPr>
      <w:tblGrid>
        <w:gridCol w:w="580"/>
        <w:gridCol w:w="2459"/>
        <w:gridCol w:w="3573"/>
        <w:gridCol w:w="2592"/>
      </w:tblGrid>
      <w:tr>
        <w:tblPrEx>
          <w:tblCellMar>
            <w:top w:w="0" w:type="dxa"/>
            <w:left w:w="0" w:type="dxa"/>
            <w:bottom w:w="0" w:type="dxa"/>
            <w:right w:w="0" w:type="dxa"/>
          </w:tblCellMar>
        </w:tblPrEx>
        <w:trPr>
          <w:trHeight w:val="340" w:hRule="atLeast"/>
          <w:tblHeader/>
        </w:trPr>
        <w:tc>
          <w:tcPr>
            <w:tcW w:w="580"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序号</w:t>
            </w:r>
          </w:p>
        </w:tc>
        <w:tc>
          <w:tcPr>
            <w:tcW w:w="2459"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评价单元</w:t>
            </w: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子单元</w:t>
            </w:r>
          </w:p>
        </w:tc>
        <w:tc>
          <w:tcPr>
            <w:tcW w:w="2592"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选用：的评价方法</w:t>
            </w:r>
          </w:p>
        </w:tc>
      </w:tr>
      <w:tr>
        <w:tblPrEx>
          <w:tblCellMar>
            <w:top w:w="0" w:type="dxa"/>
            <w:left w:w="0" w:type="dxa"/>
            <w:bottom w:w="0" w:type="dxa"/>
            <w:right w:w="0" w:type="dxa"/>
          </w:tblCellMar>
        </w:tblPrEx>
        <w:trPr>
          <w:trHeight w:val="340" w:hRule="atLeast"/>
        </w:trPr>
        <w:tc>
          <w:tcPr>
            <w:tcW w:w="580" w:type="dxa"/>
            <w:vMerge w:val="restart"/>
            <w:tcBorders>
              <w:top w:val="single" w:color="auto" w:sz="8" w:space="0"/>
              <w:left w:val="single" w:color="auto" w:sz="8" w:space="0"/>
              <w:right w:val="single" w:color="auto" w:sz="8" w:space="0"/>
            </w:tcBorders>
            <w:vAlign w:val="center"/>
          </w:tcPr>
          <w:p>
            <w:pPr>
              <w:autoSpaceDE w:val="0"/>
              <w:autoSpaceDN w:val="0"/>
              <w:ind w:firstLine="210" w:firstLineChars="10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2459" w:type="dxa"/>
            <w:vMerge w:val="restart"/>
            <w:tcBorders>
              <w:top w:val="single" w:color="auto" w:sz="8" w:space="0"/>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安全管理</w:t>
            </w: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证照文书</w:t>
            </w:r>
          </w:p>
        </w:tc>
        <w:tc>
          <w:tcPr>
            <w:tcW w:w="2592" w:type="dxa"/>
            <w:vMerge w:val="restart"/>
            <w:tcBorders>
              <w:top w:val="single" w:color="auto" w:sz="8" w:space="0"/>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安全检查表</w:t>
            </w:r>
          </w:p>
        </w:tc>
      </w:tr>
      <w:tr>
        <w:tblPrEx>
          <w:tblCellMar>
            <w:top w:w="0" w:type="dxa"/>
            <w:left w:w="0" w:type="dxa"/>
            <w:bottom w:w="0" w:type="dxa"/>
            <w:right w:w="0" w:type="dxa"/>
          </w:tblCellMar>
        </w:tblPrEx>
        <w:trPr>
          <w:trHeight w:val="340" w:hRule="atLeast"/>
        </w:trPr>
        <w:tc>
          <w:tcPr>
            <w:tcW w:w="580"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2459"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安全管理制度</w:t>
            </w:r>
          </w:p>
        </w:tc>
        <w:tc>
          <w:tcPr>
            <w:tcW w:w="2592"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r>
      <w:tr>
        <w:tblPrEx>
          <w:tblCellMar>
            <w:top w:w="0" w:type="dxa"/>
            <w:left w:w="0" w:type="dxa"/>
            <w:bottom w:w="0" w:type="dxa"/>
            <w:right w:w="0" w:type="dxa"/>
          </w:tblCellMar>
        </w:tblPrEx>
        <w:trPr>
          <w:trHeight w:val="340" w:hRule="atLeast"/>
        </w:trPr>
        <w:tc>
          <w:tcPr>
            <w:tcW w:w="580"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2459"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安全管理组织</w:t>
            </w:r>
          </w:p>
        </w:tc>
        <w:tc>
          <w:tcPr>
            <w:tcW w:w="2592"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r>
      <w:tr>
        <w:tblPrEx>
          <w:tblCellMar>
            <w:top w:w="0" w:type="dxa"/>
            <w:left w:w="0" w:type="dxa"/>
            <w:bottom w:w="0" w:type="dxa"/>
            <w:right w:w="0" w:type="dxa"/>
          </w:tblCellMar>
        </w:tblPrEx>
        <w:trPr>
          <w:trHeight w:val="340" w:hRule="atLeast"/>
        </w:trPr>
        <w:tc>
          <w:tcPr>
            <w:tcW w:w="580"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2459"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从业人员</w:t>
            </w:r>
          </w:p>
        </w:tc>
        <w:tc>
          <w:tcPr>
            <w:tcW w:w="2592"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r>
      <w:tr>
        <w:tblPrEx>
          <w:tblCellMar>
            <w:top w:w="0" w:type="dxa"/>
            <w:left w:w="0" w:type="dxa"/>
            <w:bottom w:w="0" w:type="dxa"/>
            <w:right w:w="0" w:type="dxa"/>
          </w:tblCellMar>
        </w:tblPrEx>
        <w:trPr>
          <w:trHeight w:val="340" w:hRule="atLeast"/>
        </w:trPr>
        <w:tc>
          <w:tcPr>
            <w:tcW w:w="580"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2459"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安全投入及运行措施</w:t>
            </w:r>
          </w:p>
        </w:tc>
        <w:tc>
          <w:tcPr>
            <w:tcW w:w="2592"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r>
      <w:tr>
        <w:tblPrEx>
          <w:tblCellMar>
            <w:top w:w="0" w:type="dxa"/>
            <w:left w:w="0" w:type="dxa"/>
            <w:bottom w:w="0" w:type="dxa"/>
            <w:right w:w="0" w:type="dxa"/>
          </w:tblCellMar>
        </w:tblPrEx>
        <w:trPr>
          <w:trHeight w:val="340" w:hRule="atLeast"/>
        </w:trPr>
        <w:tc>
          <w:tcPr>
            <w:tcW w:w="580"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2459"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安全标志与安全色</w:t>
            </w:r>
          </w:p>
        </w:tc>
        <w:tc>
          <w:tcPr>
            <w:tcW w:w="2592"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r>
      <w:tr>
        <w:tblPrEx>
          <w:tblCellMar>
            <w:top w:w="0" w:type="dxa"/>
            <w:left w:w="0" w:type="dxa"/>
            <w:bottom w:w="0" w:type="dxa"/>
            <w:right w:w="0" w:type="dxa"/>
          </w:tblCellMar>
        </w:tblPrEx>
        <w:trPr>
          <w:trHeight w:val="340" w:hRule="atLeast"/>
        </w:trPr>
        <w:tc>
          <w:tcPr>
            <w:tcW w:w="580" w:type="dxa"/>
            <w:vMerge w:val="continue"/>
            <w:tcBorders>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2459" w:type="dxa"/>
            <w:vMerge w:val="continue"/>
            <w:tcBorders>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应急救援预案和事故调查</w:t>
            </w:r>
          </w:p>
        </w:tc>
        <w:tc>
          <w:tcPr>
            <w:tcW w:w="2592" w:type="dxa"/>
            <w:vMerge w:val="continue"/>
            <w:tcBorders>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r>
      <w:tr>
        <w:tblPrEx>
          <w:tblCellMar>
            <w:top w:w="0" w:type="dxa"/>
            <w:left w:w="0" w:type="dxa"/>
            <w:bottom w:w="0" w:type="dxa"/>
            <w:right w:w="0" w:type="dxa"/>
          </w:tblCellMar>
        </w:tblPrEx>
        <w:trPr>
          <w:trHeight w:val="340" w:hRule="atLeast"/>
        </w:trPr>
        <w:tc>
          <w:tcPr>
            <w:tcW w:w="580" w:type="dxa"/>
            <w:vMerge w:val="restart"/>
            <w:tcBorders>
              <w:top w:val="single" w:color="auto" w:sz="8" w:space="0"/>
              <w:left w:val="single" w:color="auto" w:sz="8" w:space="0"/>
              <w:right w:val="single" w:color="auto" w:sz="8" w:space="0"/>
            </w:tcBorders>
            <w:vAlign w:val="center"/>
          </w:tcPr>
          <w:p>
            <w:pPr>
              <w:autoSpaceDE w:val="0"/>
              <w:autoSpaceDN w:val="0"/>
              <w:ind w:firstLine="105" w:firstLineChars="5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2459" w:type="dxa"/>
            <w:vMerge w:val="restart"/>
            <w:tcBorders>
              <w:top w:val="single" w:color="auto" w:sz="8" w:space="0"/>
              <w:left w:val="single" w:color="auto" w:sz="8" w:space="0"/>
              <w:right w:val="single" w:color="auto" w:sz="8" w:space="0"/>
            </w:tcBorders>
            <w:vAlign w:val="center"/>
          </w:tcPr>
          <w:p>
            <w:pPr>
              <w:ind w:firstLine="420" w:firstLineChars="200"/>
              <w:rPr>
                <w:rFonts w:hint="eastAsia" w:ascii="宋体" w:hAnsi="宋体" w:eastAsia="宋体" w:cs="宋体"/>
                <w:color w:val="auto"/>
                <w:sz w:val="21"/>
                <w:szCs w:val="21"/>
              </w:rPr>
            </w:pPr>
          </w:p>
          <w:p>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厂址、总平面布置及主要建(构)筑物</w:t>
            </w:r>
          </w:p>
          <w:p>
            <w:pPr>
              <w:autoSpaceDE w:val="0"/>
              <w:autoSpaceDN w:val="0"/>
              <w:jc w:val="center"/>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周边环境</w:t>
            </w:r>
          </w:p>
        </w:tc>
        <w:tc>
          <w:tcPr>
            <w:tcW w:w="2592" w:type="dxa"/>
            <w:vMerge w:val="restart"/>
            <w:tcBorders>
              <w:top w:val="single" w:color="auto" w:sz="8" w:space="0"/>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安全检查表</w:t>
            </w:r>
          </w:p>
        </w:tc>
      </w:tr>
      <w:tr>
        <w:tblPrEx>
          <w:tblCellMar>
            <w:top w:w="0" w:type="dxa"/>
            <w:left w:w="0" w:type="dxa"/>
            <w:bottom w:w="0" w:type="dxa"/>
            <w:right w:w="0" w:type="dxa"/>
          </w:tblCellMar>
        </w:tblPrEx>
        <w:trPr>
          <w:trHeight w:val="340" w:hRule="atLeast"/>
        </w:trPr>
        <w:tc>
          <w:tcPr>
            <w:tcW w:w="580"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2459"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规划布局</w:t>
            </w:r>
          </w:p>
        </w:tc>
        <w:tc>
          <w:tcPr>
            <w:tcW w:w="2592"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r>
      <w:tr>
        <w:tblPrEx>
          <w:tblCellMar>
            <w:top w:w="0" w:type="dxa"/>
            <w:left w:w="0" w:type="dxa"/>
            <w:bottom w:w="0" w:type="dxa"/>
            <w:right w:w="0" w:type="dxa"/>
          </w:tblCellMar>
        </w:tblPrEx>
        <w:trPr>
          <w:trHeight w:val="340" w:hRule="atLeast"/>
        </w:trPr>
        <w:tc>
          <w:tcPr>
            <w:tcW w:w="580"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2459"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总平面布置</w:t>
            </w:r>
          </w:p>
        </w:tc>
        <w:tc>
          <w:tcPr>
            <w:tcW w:w="2592"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r>
      <w:tr>
        <w:tblPrEx>
          <w:tblCellMar>
            <w:top w:w="0" w:type="dxa"/>
            <w:left w:w="0" w:type="dxa"/>
            <w:bottom w:w="0" w:type="dxa"/>
            <w:right w:w="0" w:type="dxa"/>
          </w:tblCellMar>
        </w:tblPrEx>
        <w:trPr>
          <w:trHeight w:val="340" w:hRule="atLeast"/>
        </w:trPr>
        <w:tc>
          <w:tcPr>
            <w:tcW w:w="580"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2459"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厂内道路</w:t>
            </w:r>
          </w:p>
        </w:tc>
        <w:tc>
          <w:tcPr>
            <w:tcW w:w="2592"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r>
      <w:tr>
        <w:tblPrEx>
          <w:tblCellMar>
            <w:top w:w="0" w:type="dxa"/>
            <w:left w:w="0" w:type="dxa"/>
            <w:bottom w:w="0" w:type="dxa"/>
            <w:right w:w="0" w:type="dxa"/>
          </w:tblCellMar>
        </w:tblPrEx>
        <w:trPr>
          <w:trHeight w:val="340" w:hRule="atLeast"/>
        </w:trPr>
        <w:tc>
          <w:tcPr>
            <w:tcW w:w="580"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2459"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常规防护设施</w:t>
            </w:r>
          </w:p>
        </w:tc>
        <w:tc>
          <w:tcPr>
            <w:tcW w:w="2592"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r>
      <w:tr>
        <w:tblPrEx>
          <w:tblCellMar>
            <w:top w:w="0" w:type="dxa"/>
            <w:left w:w="0" w:type="dxa"/>
            <w:bottom w:w="0" w:type="dxa"/>
            <w:right w:w="0" w:type="dxa"/>
          </w:tblCellMar>
        </w:tblPrEx>
        <w:trPr>
          <w:trHeight w:val="1248" w:hRule="atLeast"/>
        </w:trPr>
        <w:tc>
          <w:tcPr>
            <w:tcW w:w="580" w:type="dxa"/>
            <w:tcBorders>
              <w:top w:val="single" w:color="auto" w:sz="8" w:space="0"/>
              <w:left w:val="single" w:color="auto" w:sz="8" w:space="0"/>
              <w:right w:val="single" w:color="auto" w:sz="8" w:space="0"/>
            </w:tcBorders>
            <w:vAlign w:val="center"/>
          </w:tcPr>
          <w:p>
            <w:pPr>
              <w:autoSpaceDE w:val="0"/>
              <w:autoSpaceDN w:val="0"/>
              <w:ind w:firstLine="315" w:firstLineChars="15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2459" w:type="dxa"/>
            <w:tcBorders>
              <w:top w:val="single" w:color="auto" w:sz="8" w:space="0"/>
              <w:left w:val="single" w:color="auto" w:sz="8" w:space="0"/>
              <w:right w:val="single" w:color="auto" w:sz="8" w:space="0"/>
            </w:tcBorders>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储罐区、工艺装置单元</w:t>
            </w:r>
          </w:p>
          <w:p>
            <w:pPr>
              <w:autoSpaceDE w:val="0"/>
              <w:autoSpaceDN w:val="0"/>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膜回收主设备、水洗回收装备、氨</w:t>
            </w:r>
            <w:r>
              <w:rPr>
                <w:rFonts w:hint="eastAsia" w:ascii="宋体" w:hAnsi="宋体" w:eastAsia="宋体" w:cs="宋体"/>
                <w:color w:val="auto"/>
                <w:kern w:val="0"/>
                <w:sz w:val="21"/>
                <w:szCs w:val="21"/>
                <w:lang w:eastAsia="zh-CN"/>
              </w:rPr>
              <w:t>水</w:t>
            </w:r>
            <w:r>
              <w:rPr>
                <w:rFonts w:hint="eastAsia" w:ascii="宋体" w:hAnsi="宋体" w:eastAsia="宋体" w:cs="宋体"/>
                <w:color w:val="auto"/>
                <w:kern w:val="0"/>
                <w:sz w:val="21"/>
                <w:szCs w:val="21"/>
              </w:rPr>
              <w:t>储罐</w:t>
            </w:r>
          </w:p>
        </w:tc>
        <w:tc>
          <w:tcPr>
            <w:tcW w:w="2592" w:type="dxa"/>
            <w:tcBorders>
              <w:top w:val="single" w:color="auto" w:sz="8" w:space="0"/>
              <w:left w:val="single" w:color="auto" w:sz="8" w:space="0"/>
              <w:right w:val="single" w:color="auto" w:sz="8" w:space="0"/>
            </w:tcBorders>
            <w:vAlign w:val="center"/>
          </w:tcPr>
          <w:p>
            <w:pPr>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安全检查表、危险度评价</w:t>
            </w:r>
          </w:p>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作业条件危险性分析评价</w:t>
            </w:r>
            <w:r>
              <w:rPr>
                <w:rFonts w:hint="eastAsia" w:ascii="宋体" w:hAnsi="宋体" w:eastAsia="宋体" w:cs="宋体"/>
                <w:color w:val="auto"/>
                <w:kern w:val="0"/>
                <w:sz w:val="21"/>
                <w:szCs w:val="21"/>
              </w:rPr>
              <w:t>。</w:t>
            </w:r>
          </w:p>
        </w:tc>
      </w:tr>
      <w:tr>
        <w:tblPrEx>
          <w:tblCellMar>
            <w:top w:w="0" w:type="dxa"/>
            <w:left w:w="0" w:type="dxa"/>
            <w:bottom w:w="0" w:type="dxa"/>
            <w:right w:w="0" w:type="dxa"/>
          </w:tblCellMar>
        </w:tblPrEx>
        <w:trPr>
          <w:trHeight w:val="340" w:hRule="atLeast"/>
        </w:trPr>
        <w:tc>
          <w:tcPr>
            <w:tcW w:w="580" w:type="dxa"/>
            <w:vMerge w:val="restart"/>
            <w:tcBorders>
              <w:top w:val="single" w:color="auto" w:sz="8" w:space="0"/>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2459" w:type="dxa"/>
            <w:vMerge w:val="restart"/>
            <w:tcBorders>
              <w:top w:val="single" w:color="auto" w:sz="8" w:space="0"/>
              <w:left w:val="single" w:color="auto" w:sz="8" w:space="0"/>
              <w:right w:val="single" w:color="auto" w:sz="8" w:space="0"/>
            </w:tcBorders>
            <w:vAlign w:val="center"/>
          </w:tcPr>
          <w:p>
            <w:pPr>
              <w:autoSpaceDE w:val="0"/>
              <w:autoSpaceDN w:val="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公用工程与辅助设施</w:t>
            </w: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建筑与消防</w:t>
            </w:r>
          </w:p>
        </w:tc>
        <w:tc>
          <w:tcPr>
            <w:tcW w:w="2592" w:type="dxa"/>
            <w:vMerge w:val="restart"/>
            <w:tcBorders>
              <w:top w:val="single" w:color="auto" w:sz="8" w:space="0"/>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安全检查表</w:t>
            </w:r>
          </w:p>
        </w:tc>
      </w:tr>
      <w:tr>
        <w:tblPrEx>
          <w:tblCellMar>
            <w:top w:w="0" w:type="dxa"/>
            <w:left w:w="0" w:type="dxa"/>
            <w:bottom w:w="0" w:type="dxa"/>
            <w:right w:w="0" w:type="dxa"/>
          </w:tblCellMar>
        </w:tblPrEx>
        <w:trPr>
          <w:trHeight w:val="340" w:hRule="atLeast"/>
        </w:trPr>
        <w:tc>
          <w:tcPr>
            <w:tcW w:w="580"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2459"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电气安全</w:t>
            </w:r>
          </w:p>
        </w:tc>
        <w:tc>
          <w:tcPr>
            <w:tcW w:w="2592" w:type="dxa"/>
            <w:vMerge w:val="continue"/>
            <w:tcBorders>
              <w:left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r>
      <w:tr>
        <w:tblPrEx>
          <w:tblCellMar>
            <w:top w:w="0" w:type="dxa"/>
            <w:left w:w="0" w:type="dxa"/>
            <w:bottom w:w="0" w:type="dxa"/>
            <w:right w:w="0" w:type="dxa"/>
          </w:tblCellMar>
        </w:tblPrEx>
        <w:trPr>
          <w:trHeight w:val="340" w:hRule="atLeast"/>
        </w:trPr>
        <w:tc>
          <w:tcPr>
            <w:tcW w:w="580" w:type="dxa"/>
            <w:vMerge w:val="continue"/>
            <w:tcBorders>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2459" w:type="dxa"/>
            <w:vMerge w:val="continue"/>
            <w:tcBorders>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c>
          <w:tcPr>
            <w:tcW w:w="3573"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道路与运输</w:t>
            </w:r>
          </w:p>
        </w:tc>
        <w:tc>
          <w:tcPr>
            <w:tcW w:w="2592" w:type="dxa"/>
            <w:vMerge w:val="continue"/>
            <w:tcBorders>
              <w:left w:val="single" w:color="auto" w:sz="8" w:space="0"/>
              <w:bottom w:val="single" w:color="auto" w:sz="8" w:space="0"/>
              <w:right w:val="single" w:color="auto" w:sz="8" w:space="0"/>
            </w:tcBorders>
            <w:vAlign w:val="center"/>
          </w:tcPr>
          <w:p>
            <w:pPr>
              <w:autoSpaceDE w:val="0"/>
              <w:autoSpaceDN w:val="0"/>
              <w:jc w:val="center"/>
              <w:rPr>
                <w:rFonts w:hint="eastAsia" w:ascii="宋体" w:hAnsi="宋体" w:eastAsia="宋体" w:cs="宋体"/>
                <w:color w:val="auto"/>
                <w:kern w:val="0"/>
                <w:sz w:val="21"/>
                <w:szCs w:val="21"/>
              </w:rPr>
            </w:pPr>
          </w:p>
        </w:tc>
      </w:tr>
    </w:tbl>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305" w:name="_Toc19136"/>
      <w:bookmarkStart w:id="306" w:name="_Toc525109161"/>
      <w:bookmarkStart w:id="307" w:name="_Toc345084546"/>
      <w:bookmarkStart w:id="308" w:name="_Toc27379"/>
      <w:bookmarkStart w:id="309" w:name="_Toc27647"/>
      <w:r>
        <w:rPr>
          <w:rFonts w:hint="eastAsia" w:ascii="宋体" w:hAnsi="宋体" w:eastAsia="宋体" w:cs="宋体"/>
          <w:color w:val="auto"/>
          <w:sz w:val="30"/>
          <w:szCs w:val="30"/>
        </w:rPr>
        <w:t>4.3评价方法简介</w:t>
      </w:r>
      <w:bookmarkEnd w:id="286"/>
      <w:bookmarkEnd w:id="287"/>
      <w:bookmarkEnd w:id="288"/>
      <w:bookmarkEnd w:id="304"/>
      <w:bookmarkEnd w:id="305"/>
      <w:bookmarkEnd w:id="306"/>
      <w:bookmarkEnd w:id="307"/>
      <w:bookmarkEnd w:id="308"/>
      <w:bookmarkEnd w:id="309"/>
    </w:p>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rPr>
      </w:pPr>
      <w:bookmarkStart w:id="310" w:name="_Toc239869719"/>
      <w:bookmarkStart w:id="311" w:name="_Toc226003646"/>
      <w:bookmarkStart w:id="312" w:name="_Toc238875810"/>
      <w:r>
        <w:rPr>
          <w:rFonts w:hint="eastAsia" w:ascii="宋体" w:hAnsi="宋体" w:eastAsia="宋体" w:cs="宋体"/>
          <w:b w:val="0"/>
          <w:color w:val="auto"/>
          <w:szCs w:val="28"/>
        </w:rPr>
        <w:t>4.3.1</w:t>
      </w:r>
      <w:bookmarkEnd w:id="310"/>
      <w:bookmarkEnd w:id="311"/>
      <w:bookmarkEnd w:id="312"/>
      <w:bookmarkStart w:id="313" w:name="_Toc263866391"/>
      <w:r>
        <w:rPr>
          <w:rFonts w:hint="eastAsia" w:ascii="宋体" w:hAnsi="宋体" w:eastAsia="宋体" w:cs="宋体"/>
          <w:b w:val="0"/>
          <w:color w:val="auto"/>
          <w:szCs w:val="28"/>
        </w:rPr>
        <w:t>作业条件危险性评价法</w:t>
      </w:r>
      <w:bookmarkEnd w:id="313"/>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1、评价方法简介</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作业条件危险性评价法是一种简单易行的评价操作人员在具有潜在危险性环境中作业时的危险性的半定量评价方法。</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作业条件危险性评价法用与系统风险有关的三种因素指标值之积来评价操作人员伤亡风险大小，这三种因素是L：事故发生的可能性；E：人员暴露于危险环境中的频繁程度；C：一旦发生事故可能造成的后果。给三种因素的不同等级分别确定不同的分值，再以三个分值的乘积D来评价作业条件危险性的大小。即：D＝L×E×C。</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2、评价步骤</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评价步骤为：</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1）以类比作业条件比较为基础，由熟悉作业条件的人员组成评价小组；</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2）由评价小组成员按照标准给L、E、C分别打分，取各组的平均值作为L、E、C的计算分值，用计算的危险性分值D来评价作业条件的危险性等级。</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3、赋分标准</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1）事故发生的可能性（L）</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b/>
          <w:bCs/>
          <w:color w:val="auto"/>
          <w:szCs w:val="28"/>
        </w:rPr>
      </w:pPr>
      <w:r>
        <w:rPr>
          <w:rFonts w:hint="eastAsia" w:ascii="宋体" w:hAnsi="宋体" w:eastAsia="宋体" w:cs="宋体"/>
          <w:color w:val="auto"/>
          <w:szCs w:val="28"/>
        </w:rPr>
        <w:t>事故发生的可能性用概率来表示时，绝对不可能发生的事故频率为0，而必然发生的事故概率为1。然而，从系统安全的角度考虑，绝对不发生的事故是不可能的，所以人为地将发生事故的可能性极小的分值定为0.1，而必然要发生的事故的分值定为10，以此为基础介于这两者之间的指定为若干中间值。见表4.3-1。</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Cs/>
          <w:color w:val="auto"/>
          <w:sz w:val="24"/>
        </w:rPr>
      </w:pPr>
      <w:r>
        <w:rPr>
          <w:rFonts w:hint="eastAsia" w:ascii="宋体" w:hAnsi="宋体" w:eastAsia="宋体" w:cs="宋体"/>
          <w:bCs/>
          <w:color w:val="auto"/>
          <w:sz w:val="24"/>
        </w:rPr>
        <w:t>表4.3-1  事故或危险事件发生的可能性（L）</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3446"/>
        <w:gridCol w:w="1149"/>
        <w:gridCol w:w="3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254"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344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事故或危险情况发生可能性</w:t>
            </w:r>
          </w:p>
        </w:tc>
        <w:tc>
          <w:tcPr>
            <w:tcW w:w="1149"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3551"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事故或危险情况发生可能性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254"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344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完全会被预料到</w:t>
            </w:r>
          </w:p>
        </w:tc>
        <w:tc>
          <w:tcPr>
            <w:tcW w:w="1149"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0.5</w:t>
            </w:r>
          </w:p>
        </w:tc>
        <w:tc>
          <w:tcPr>
            <w:tcW w:w="3551"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可以设想，但高度不可能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254"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344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相当可能</w:t>
            </w:r>
          </w:p>
        </w:tc>
        <w:tc>
          <w:tcPr>
            <w:tcW w:w="1149"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0.2</w:t>
            </w:r>
          </w:p>
        </w:tc>
        <w:tc>
          <w:tcPr>
            <w:tcW w:w="3551"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极不可能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254"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344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不经常，但可能</w:t>
            </w:r>
          </w:p>
        </w:tc>
        <w:tc>
          <w:tcPr>
            <w:tcW w:w="1149"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0.1</w:t>
            </w:r>
          </w:p>
        </w:tc>
        <w:tc>
          <w:tcPr>
            <w:tcW w:w="3551"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实际上不可能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254"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44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完全意外，极少可能</w:t>
            </w:r>
          </w:p>
        </w:tc>
        <w:tc>
          <w:tcPr>
            <w:tcW w:w="1149" w:type="dxa"/>
            <w:vAlign w:val="center"/>
          </w:tcPr>
          <w:p>
            <w:pPr>
              <w:spacing w:line="400" w:lineRule="exact"/>
              <w:jc w:val="center"/>
              <w:rPr>
                <w:rFonts w:hint="eastAsia" w:ascii="宋体" w:hAnsi="宋体" w:eastAsia="宋体" w:cs="宋体"/>
                <w:color w:val="auto"/>
                <w:sz w:val="21"/>
                <w:szCs w:val="21"/>
              </w:rPr>
            </w:pPr>
          </w:p>
        </w:tc>
        <w:tc>
          <w:tcPr>
            <w:tcW w:w="3551" w:type="dxa"/>
            <w:vAlign w:val="center"/>
          </w:tcPr>
          <w:p>
            <w:pPr>
              <w:spacing w:line="400" w:lineRule="exact"/>
              <w:jc w:val="center"/>
              <w:rPr>
                <w:rFonts w:hint="eastAsia" w:ascii="宋体" w:hAnsi="宋体" w:eastAsia="宋体" w:cs="宋体"/>
                <w:color w:val="auto"/>
                <w:sz w:val="21"/>
                <w:szCs w:val="21"/>
              </w:rPr>
            </w:pPr>
          </w:p>
        </w:tc>
      </w:tr>
    </w:tbl>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2）人员暴露于危险环境的频繁程度（E）</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人员暴露于危险环境中的时间越多，受到伤害的可能性越大，相应的危险性也越大。规定人员连续出现在危险环境的情况分值为10，而非常罕见地出现在危险环境中的情况分值为0.5，介于两者之间的各种情况规定若干个中间值。见表4.3-2。</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Cs/>
          <w:color w:val="auto"/>
          <w:sz w:val="24"/>
        </w:rPr>
      </w:pPr>
      <w:r>
        <w:rPr>
          <w:rFonts w:hint="eastAsia" w:ascii="宋体" w:hAnsi="宋体" w:eastAsia="宋体" w:cs="宋体"/>
          <w:bCs/>
          <w:color w:val="auto"/>
          <w:sz w:val="24"/>
        </w:rPr>
        <w:t>表4.3-2  人员暴露于危险环境的频繁程度（E）</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126"/>
        <w:gridCol w:w="1246"/>
        <w:gridCol w:w="3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atLeast"/>
        </w:trPr>
        <w:tc>
          <w:tcPr>
            <w:tcW w:w="1407"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312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　出现于危险环境的情况</w:t>
            </w:r>
          </w:p>
        </w:tc>
        <w:tc>
          <w:tcPr>
            <w:tcW w:w="124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3621"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出现于危险环境的情况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trPr>
        <w:tc>
          <w:tcPr>
            <w:tcW w:w="1407"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312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连续暴露于潜在危险环境</w:t>
            </w:r>
          </w:p>
        </w:tc>
        <w:tc>
          <w:tcPr>
            <w:tcW w:w="124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3621"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每月暴露一次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trPr>
        <w:tc>
          <w:tcPr>
            <w:tcW w:w="1407"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312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逐日在工作时间内暴露</w:t>
            </w:r>
          </w:p>
        </w:tc>
        <w:tc>
          <w:tcPr>
            <w:tcW w:w="124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621"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每年几次出现在潜在危险环境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trPr>
        <w:tc>
          <w:tcPr>
            <w:tcW w:w="1407"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312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每周一次或偶然地暴露</w:t>
            </w:r>
          </w:p>
        </w:tc>
        <w:tc>
          <w:tcPr>
            <w:tcW w:w="124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0.5</w:t>
            </w:r>
          </w:p>
        </w:tc>
        <w:tc>
          <w:tcPr>
            <w:tcW w:w="3621"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非常罕见地暴露</w:t>
            </w:r>
          </w:p>
        </w:tc>
      </w:tr>
    </w:tbl>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3）发生事故可能造成的后果（C）</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事故造成的人员伤亡和财产损失的范围变化很大，所以规定分数值为1－100。把需要治疗的轻微伤害或较小财产损失的分数值规定为1，造成多人死亡或重大财产损失的分数值规定为100，介于两者之间的情况规定若干个中间值。见表4.3-3。</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Cs/>
          <w:color w:val="auto"/>
          <w:sz w:val="24"/>
        </w:rPr>
      </w:pPr>
      <w:r>
        <w:rPr>
          <w:rFonts w:hint="eastAsia" w:ascii="宋体" w:hAnsi="宋体" w:eastAsia="宋体" w:cs="宋体"/>
          <w:bCs/>
          <w:color w:val="auto"/>
          <w:sz w:val="24"/>
        </w:rPr>
        <w:t>表4.3-3  发生事故或危险事件可能造成的后果（C）</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871"/>
        <w:gridCol w:w="1105"/>
        <w:gridCol w:w="3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10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3871"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可能结果</w:t>
            </w:r>
          </w:p>
        </w:tc>
        <w:tc>
          <w:tcPr>
            <w:tcW w:w="1105"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3318"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110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3871"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大灾难，许多人死亡</w:t>
            </w:r>
          </w:p>
        </w:tc>
        <w:tc>
          <w:tcPr>
            <w:tcW w:w="1105"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3318"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严重，严重伤害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110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40</w:t>
            </w:r>
          </w:p>
        </w:tc>
        <w:tc>
          <w:tcPr>
            <w:tcW w:w="3871"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灾难，数人死亡</w:t>
            </w:r>
          </w:p>
        </w:tc>
        <w:tc>
          <w:tcPr>
            <w:tcW w:w="1105"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3318"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重大，致残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110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3871"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非常严重，一人死亡</w:t>
            </w:r>
          </w:p>
        </w:tc>
        <w:tc>
          <w:tcPr>
            <w:tcW w:w="1105"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318"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　引人注目，需要救护</w:t>
            </w:r>
          </w:p>
        </w:tc>
      </w:tr>
    </w:tbl>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4、危险等级划分标准</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根据经验，危险性分值在20分以下为低危险性，这样的危险比日常生活中骑自行车去上班还要安全些，当危险性分值在20～70时，则需要加以注意，如果危险性分值在70－160之间，有显著的危险性，需要采取措施整改；如果危险性分值在160－320之间，有高度危险性，必须立即整改；如果危险性分值大于320，极度危险，应立即停止作业，彻底整改。按危险性分值划分危险性等级的标准见表4.3-4。</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Cs/>
          <w:color w:val="auto"/>
          <w:sz w:val="24"/>
        </w:rPr>
      </w:pPr>
      <w:r>
        <w:rPr>
          <w:rFonts w:hint="eastAsia" w:ascii="宋体" w:hAnsi="宋体" w:eastAsia="宋体" w:cs="宋体"/>
          <w:bCs/>
          <w:color w:val="auto"/>
          <w:sz w:val="24"/>
        </w:rPr>
        <w:br w:type="page"/>
      </w:r>
      <w:r>
        <w:rPr>
          <w:rFonts w:hint="eastAsia" w:ascii="宋体" w:hAnsi="宋体" w:eastAsia="宋体" w:cs="宋体"/>
          <w:bCs/>
          <w:color w:val="auto"/>
          <w:sz w:val="24"/>
        </w:rPr>
        <w:t>表4.3-4  危险性等级划分标准（D）</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3196"/>
        <w:gridCol w:w="1692"/>
        <w:gridCol w:w="3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atLeast"/>
        </w:trPr>
        <w:tc>
          <w:tcPr>
            <w:tcW w:w="1318"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319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危险程度</w:t>
            </w:r>
          </w:p>
        </w:tc>
        <w:tc>
          <w:tcPr>
            <w:tcW w:w="1692"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3194"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trPr>
        <w:tc>
          <w:tcPr>
            <w:tcW w:w="1318"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＞320</w:t>
            </w:r>
          </w:p>
        </w:tc>
        <w:tc>
          <w:tcPr>
            <w:tcW w:w="319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极其危险，不能继续作业</w:t>
            </w:r>
          </w:p>
        </w:tc>
        <w:tc>
          <w:tcPr>
            <w:tcW w:w="1692"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20－70</w:t>
            </w:r>
          </w:p>
        </w:tc>
        <w:tc>
          <w:tcPr>
            <w:tcW w:w="3194"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可能危险，需要注意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trPr>
        <w:tc>
          <w:tcPr>
            <w:tcW w:w="1318"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160－320</w:t>
            </w:r>
          </w:p>
        </w:tc>
        <w:tc>
          <w:tcPr>
            <w:tcW w:w="319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高度危险，需要立即整改</w:t>
            </w:r>
          </w:p>
        </w:tc>
        <w:tc>
          <w:tcPr>
            <w:tcW w:w="1692"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3194"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稍有危险，或许可以接受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trPr>
        <w:tc>
          <w:tcPr>
            <w:tcW w:w="1318"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70－160</w:t>
            </w:r>
          </w:p>
        </w:tc>
        <w:tc>
          <w:tcPr>
            <w:tcW w:w="3196" w:type="dxa"/>
            <w:vAlign w:val="center"/>
          </w:tcPr>
          <w:p>
            <w:pPr>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显著危险，需要整改</w:t>
            </w:r>
          </w:p>
        </w:tc>
        <w:tc>
          <w:tcPr>
            <w:tcW w:w="1692" w:type="dxa"/>
            <w:vAlign w:val="center"/>
          </w:tcPr>
          <w:p>
            <w:pPr>
              <w:spacing w:line="400" w:lineRule="exact"/>
              <w:jc w:val="center"/>
              <w:rPr>
                <w:rFonts w:hint="eastAsia" w:ascii="宋体" w:hAnsi="宋体" w:eastAsia="宋体" w:cs="宋体"/>
                <w:color w:val="auto"/>
                <w:sz w:val="21"/>
                <w:szCs w:val="21"/>
              </w:rPr>
            </w:pPr>
          </w:p>
        </w:tc>
        <w:tc>
          <w:tcPr>
            <w:tcW w:w="3194" w:type="dxa"/>
            <w:vAlign w:val="center"/>
          </w:tcPr>
          <w:p>
            <w:pPr>
              <w:spacing w:line="400" w:lineRule="exact"/>
              <w:jc w:val="center"/>
              <w:rPr>
                <w:rFonts w:hint="eastAsia" w:ascii="宋体" w:hAnsi="宋体" w:eastAsia="宋体" w:cs="宋体"/>
                <w:color w:val="auto"/>
                <w:sz w:val="21"/>
                <w:szCs w:val="21"/>
              </w:rPr>
            </w:pPr>
          </w:p>
        </w:tc>
      </w:tr>
    </w:tbl>
    <w:p>
      <w:pPr>
        <w:pStyle w:val="8"/>
        <w:spacing w:line="600" w:lineRule="exact"/>
        <w:jc w:val="both"/>
        <w:rPr>
          <w:rFonts w:hint="eastAsia" w:ascii="宋体" w:hAnsi="宋体" w:eastAsia="宋体" w:cs="宋体"/>
          <w:b w:val="0"/>
          <w:color w:val="auto"/>
          <w:szCs w:val="28"/>
        </w:rPr>
      </w:pPr>
      <w:r>
        <w:rPr>
          <w:rFonts w:hint="eastAsia" w:ascii="宋体" w:hAnsi="宋体" w:eastAsia="宋体" w:cs="宋体"/>
          <w:b w:val="0"/>
          <w:color w:val="auto"/>
          <w:szCs w:val="28"/>
        </w:rPr>
        <w:t>4.3.2安全生产检查表法简介</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安全检查表分析是利用检查条款按照相关的法规、规范标准等对已知的危险类别、设计缺陷及与一般工艺设备、操作、管理有关的潜在危险性和有害性进行判别检查。</w:t>
      </w:r>
    </w:p>
    <w:p>
      <w:pPr>
        <w:pStyle w:val="22"/>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该方法适用于工程、系统的各个阶段。安全检查表可以评价物质、设备、工艺和管理。检查表法也可以对已经运行多年的在用装置的危险性检查。</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安全检查表编制依据：</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1）国家、行业有关标准、法规和规定</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2）同类企业有关安全管理经验</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3）以往事故案例</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4)企业提供的有关资料</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该方法主要是符合性检查。</w:t>
      </w:r>
    </w:p>
    <w:bookmarkEnd w:id="282"/>
    <w:p>
      <w:pPr>
        <w:pStyle w:val="8"/>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val="0"/>
          <w:color w:val="auto"/>
          <w:szCs w:val="28"/>
        </w:rPr>
      </w:pPr>
      <w:bookmarkStart w:id="314" w:name="_Toc238875818"/>
      <w:bookmarkStart w:id="315" w:name="_Toc349506735"/>
      <w:bookmarkStart w:id="316" w:name="_Toc239869721"/>
      <w:bookmarkStart w:id="317" w:name="_Toc263155265"/>
      <w:bookmarkStart w:id="318" w:name="_Toc226003653"/>
      <w:bookmarkStart w:id="319" w:name="_Toc342424401"/>
      <w:bookmarkStart w:id="320" w:name="_Toc303102527"/>
      <w:bookmarkStart w:id="321" w:name="_Toc329270231"/>
      <w:bookmarkStart w:id="322" w:name="_Toc304967312"/>
      <w:r>
        <w:rPr>
          <w:rFonts w:hint="eastAsia" w:ascii="宋体" w:hAnsi="宋体" w:eastAsia="宋体" w:cs="宋体"/>
          <w:b w:val="0"/>
          <w:color w:val="auto"/>
          <w:szCs w:val="28"/>
        </w:rPr>
        <w:t>4.3.3危险度评价法</w:t>
      </w:r>
      <w:bookmarkEnd w:id="314"/>
      <w:bookmarkEnd w:id="315"/>
      <w:bookmarkEnd w:id="316"/>
      <w:bookmarkEnd w:id="317"/>
      <w:bookmarkEnd w:id="318"/>
      <w:bookmarkEnd w:id="319"/>
      <w:bookmarkEnd w:id="320"/>
      <w:bookmarkEnd w:id="321"/>
      <w:bookmarkEnd w:id="322"/>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危险度评价法是根据日本劳动省“六阶段法”的定量评价表，结合我国《石油化工企业设计防火规范》(GB50160-2008)、《压力容器中化学介质毒性危害和爆炸危险程度分类》(HG20660-2000)等有关标准、规程，编制了“危险度评价取值表”。规定单元危险度由物质、容量、温度、压力和操作5个项目共同确定。其危险性分别按A=10分，B=5分，C=2分，D=0分赋值计分，由累计分值确定单元危险度。危险度评价取值表见表4-2，危险度分级见表4.3-</w:t>
      </w:r>
      <w:r>
        <w:rPr>
          <w:rFonts w:hint="eastAsia" w:ascii="宋体" w:hAnsi="宋体" w:eastAsia="宋体" w:cs="宋体"/>
          <w:color w:val="auto"/>
          <w:szCs w:val="28"/>
          <w:lang w:val="en-US" w:eastAsia="zh-CN"/>
        </w:rPr>
        <w:t>5</w:t>
      </w:r>
      <w:r>
        <w:rPr>
          <w:rFonts w:hint="eastAsia" w:ascii="宋体" w:hAnsi="宋体" w:eastAsia="宋体" w:cs="宋体"/>
          <w:color w:val="auto"/>
          <w:szCs w:val="28"/>
        </w:rPr>
        <w:t>。</w:t>
      </w:r>
    </w:p>
    <w:p>
      <w:pPr>
        <w:pageBreakBefore w:val="0"/>
        <w:widowControl w:val="0"/>
        <w:kinsoku/>
        <w:wordWrap/>
        <w:overflowPunct/>
        <w:topLinePunct w:val="0"/>
        <w:autoSpaceDE/>
        <w:autoSpaceDN/>
        <w:bidi w:val="0"/>
        <w:adjustRightInd/>
        <w:snapToGrid/>
        <w:spacing w:line="600" w:lineRule="exact"/>
        <w:ind w:firstLine="493" w:firstLineChars="196"/>
        <w:jc w:val="center"/>
        <w:textAlignment w:val="auto"/>
        <w:rPr>
          <w:rStyle w:val="40"/>
          <w:rFonts w:hint="eastAsia" w:ascii="宋体" w:hAnsi="宋体" w:eastAsia="宋体" w:cs="宋体"/>
          <w:color w:val="auto"/>
        </w:rPr>
      </w:pPr>
      <w:r>
        <w:rPr>
          <w:rStyle w:val="40"/>
          <w:rFonts w:hint="eastAsia" w:ascii="宋体" w:hAnsi="宋体" w:eastAsia="宋体" w:cs="宋体"/>
          <w:color w:val="auto"/>
        </w:rPr>
        <w:t>表4.3-</w:t>
      </w:r>
      <w:r>
        <w:rPr>
          <w:rStyle w:val="40"/>
          <w:rFonts w:hint="eastAsia" w:ascii="宋体" w:hAnsi="宋体" w:eastAsia="宋体" w:cs="宋体"/>
          <w:color w:val="auto"/>
          <w:lang w:val="en-US" w:eastAsia="zh-CN"/>
        </w:rPr>
        <w:t>5</w:t>
      </w:r>
      <w:r>
        <w:rPr>
          <w:rStyle w:val="40"/>
          <w:rFonts w:hint="eastAsia" w:ascii="宋体" w:hAnsi="宋体" w:eastAsia="宋体" w:cs="宋体"/>
          <w:color w:val="auto"/>
        </w:rPr>
        <w:t xml:space="preserve">  危险度评价取值表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096"/>
        <w:gridCol w:w="2256"/>
        <w:gridCol w:w="2256"/>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912" w:type="dxa"/>
            <w:tcBorders>
              <w:tl2br w:val="single" w:color="auto" w:sz="4" w:space="0"/>
            </w:tcBorders>
            <w:vAlign w:val="center"/>
          </w:tcPr>
          <w:p>
            <w:pPr>
              <w:spacing w:line="280" w:lineRule="exact"/>
              <w:ind w:firstLine="210" w:firstLineChars="100"/>
              <w:jc w:val="center"/>
              <w:rPr>
                <w:rFonts w:hint="eastAsia" w:ascii="宋体" w:hAnsi="宋体" w:eastAsia="宋体" w:cs="宋体"/>
                <w:color w:val="auto"/>
                <w:sz w:val="21"/>
                <w:szCs w:val="21"/>
              </w:rPr>
            </w:pPr>
            <w:r>
              <w:rPr>
                <w:rFonts w:hint="eastAsia" w:ascii="宋体" w:hAnsi="宋体" w:eastAsia="宋体" w:cs="宋体"/>
                <w:color w:val="auto"/>
                <w:sz w:val="21"/>
                <w:szCs w:val="21"/>
              </w:rPr>
              <w:t>分值项目</w:t>
            </w:r>
          </w:p>
        </w:tc>
        <w:tc>
          <w:tcPr>
            <w:tcW w:w="209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A(10分)</w:t>
            </w:r>
          </w:p>
        </w:tc>
        <w:tc>
          <w:tcPr>
            <w:tcW w:w="225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B(5分)</w:t>
            </w:r>
          </w:p>
        </w:tc>
        <w:tc>
          <w:tcPr>
            <w:tcW w:w="225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C(2分)</w:t>
            </w:r>
          </w:p>
        </w:tc>
        <w:tc>
          <w:tcPr>
            <w:tcW w:w="188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D(0分)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12"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物质</w:t>
            </w:r>
          </w:p>
        </w:tc>
        <w:tc>
          <w:tcPr>
            <w:tcW w:w="209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甲类可燃气体；</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甲</w:t>
            </w:r>
            <w:r>
              <w:rPr>
                <w:rFonts w:hint="eastAsia" w:ascii="宋体" w:hAnsi="宋体" w:eastAsia="宋体" w:cs="宋体"/>
                <w:color w:val="auto"/>
                <w:sz w:val="21"/>
                <w:szCs w:val="21"/>
                <w:vertAlign w:val="subscript"/>
              </w:rPr>
              <w:t>A</w:t>
            </w:r>
            <w:r>
              <w:rPr>
                <w:rFonts w:hint="eastAsia" w:ascii="宋体" w:hAnsi="宋体" w:eastAsia="宋体" w:cs="宋体"/>
                <w:color w:val="auto"/>
                <w:sz w:val="21"/>
                <w:szCs w:val="21"/>
              </w:rPr>
              <w:t>类物质及液态烃类；</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甲类固体；</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极度危害介质</w:t>
            </w:r>
          </w:p>
        </w:tc>
        <w:tc>
          <w:tcPr>
            <w:tcW w:w="225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乙类气体；</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甲</w:t>
            </w:r>
            <w:r>
              <w:rPr>
                <w:rFonts w:hint="eastAsia" w:ascii="宋体" w:hAnsi="宋体" w:eastAsia="宋体" w:cs="宋体"/>
                <w:color w:val="auto"/>
                <w:sz w:val="21"/>
                <w:szCs w:val="21"/>
                <w:vertAlign w:val="subscript"/>
              </w:rPr>
              <w:t>B</w:t>
            </w:r>
            <w:r>
              <w:rPr>
                <w:rFonts w:hint="eastAsia" w:ascii="宋体" w:hAnsi="宋体" w:eastAsia="宋体" w:cs="宋体"/>
                <w:color w:val="auto"/>
                <w:sz w:val="21"/>
                <w:szCs w:val="21"/>
              </w:rPr>
              <w:t>、乙</w:t>
            </w:r>
            <w:r>
              <w:rPr>
                <w:rFonts w:hint="eastAsia" w:ascii="宋体" w:hAnsi="宋体" w:eastAsia="宋体" w:cs="宋体"/>
                <w:color w:val="auto"/>
                <w:sz w:val="21"/>
                <w:szCs w:val="21"/>
                <w:vertAlign w:val="subscript"/>
              </w:rPr>
              <w:t>A</w:t>
            </w:r>
            <w:r>
              <w:rPr>
                <w:rFonts w:hint="eastAsia" w:ascii="宋体" w:hAnsi="宋体" w:eastAsia="宋体" w:cs="宋体"/>
                <w:color w:val="auto"/>
                <w:sz w:val="21"/>
                <w:szCs w:val="21"/>
              </w:rPr>
              <w:t>类可燃液体；</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乙类固体；</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高度危害介质</w:t>
            </w:r>
          </w:p>
        </w:tc>
        <w:tc>
          <w:tcPr>
            <w:tcW w:w="225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乙</w:t>
            </w:r>
            <w:r>
              <w:rPr>
                <w:rFonts w:hint="eastAsia" w:ascii="宋体" w:hAnsi="宋体" w:eastAsia="宋体" w:cs="宋体"/>
                <w:color w:val="auto"/>
                <w:sz w:val="21"/>
                <w:szCs w:val="21"/>
                <w:vertAlign w:val="subscript"/>
              </w:rPr>
              <w:t>B</w:t>
            </w:r>
            <w:r>
              <w:rPr>
                <w:rFonts w:hint="eastAsia" w:ascii="宋体" w:hAnsi="宋体" w:eastAsia="宋体" w:cs="宋体"/>
                <w:color w:val="auto"/>
                <w:sz w:val="21"/>
                <w:szCs w:val="21"/>
              </w:rPr>
              <w:t>、丙</w:t>
            </w:r>
            <w:r>
              <w:rPr>
                <w:rFonts w:hint="eastAsia" w:ascii="宋体" w:hAnsi="宋体" w:eastAsia="宋体" w:cs="宋体"/>
                <w:color w:val="auto"/>
                <w:sz w:val="21"/>
                <w:szCs w:val="21"/>
                <w:vertAlign w:val="subscript"/>
              </w:rPr>
              <w:t>A</w:t>
            </w:r>
            <w:r>
              <w:rPr>
                <w:rFonts w:hint="eastAsia" w:ascii="宋体" w:hAnsi="宋体" w:eastAsia="宋体" w:cs="宋体"/>
                <w:color w:val="auto"/>
                <w:sz w:val="21"/>
                <w:szCs w:val="21"/>
              </w:rPr>
              <w:t>、丙</w:t>
            </w:r>
            <w:r>
              <w:rPr>
                <w:rFonts w:hint="eastAsia" w:ascii="宋体" w:hAnsi="宋体" w:eastAsia="宋体" w:cs="宋体"/>
                <w:color w:val="auto"/>
                <w:sz w:val="21"/>
                <w:szCs w:val="21"/>
                <w:vertAlign w:val="subscript"/>
              </w:rPr>
              <w:t>B</w:t>
            </w:r>
            <w:r>
              <w:rPr>
                <w:rFonts w:hint="eastAsia" w:ascii="宋体" w:hAnsi="宋体" w:eastAsia="宋体" w:cs="宋体"/>
                <w:color w:val="auto"/>
                <w:sz w:val="21"/>
                <w:szCs w:val="21"/>
              </w:rPr>
              <w:t>类可燃液体；</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丙类固体；</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中、轻度危害介质</w:t>
            </w:r>
          </w:p>
        </w:tc>
        <w:tc>
          <w:tcPr>
            <w:tcW w:w="188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不属A、B、C项之物质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12"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容量</w:t>
            </w:r>
          </w:p>
        </w:tc>
        <w:tc>
          <w:tcPr>
            <w:tcW w:w="209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气体1000m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以上</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液体100 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以上</w:t>
            </w:r>
          </w:p>
        </w:tc>
        <w:tc>
          <w:tcPr>
            <w:tcW w:w="225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气体500~1000 m</w:t>
            </w:r>
            <w:r>
              <w:rPr>
                <w:rFonts w:hint="eastAsia" w:ascii="宋体" w:hAnsi="宋体" w:eastAsia="宋体" w:cs="宋体"/>
                <w:color w:val="auto"/>
                <w:sz w:val="21"/>
                <w:szCs w:val="21"/>
                <w:vertAlign w:val="superscript"/>
              </w:rPr>
              <w:t>3</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液体50~100 m</w:t>
            </w:r>
            <w:r>
              <w:rPr>
                <w:rFonts w:hint="eastAsia" w:ascii="宋体" w:hAnsi="宋体" w:eastAsia="宋体" w:cs="宋体"/>
                <w:color w:val="auto"/>
                <w:sz w:val="21"/>
                <w:szCs w:val="21"/>
                <w:vertAlign w:val="superscript"/>
              </w:rPr>
              <w:t>3</w:t>
            </w:r>
          </w:p>
        </w:tc>
        <w:tc>
          <w:tcPr>
            <w:tcW w:w="225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气体100~500 m</w:t>
            </w:r>
            <w:r>
              <w:rPr>
                <w:rFonts w:hint="eastAsia" w:ascii="宋体" w:hAnsi="宋体" w:eastAsia="宋体" w:cs="宋体"/>
                <w:color w:val="auto"/>
                <w:sz w:val="21"/>
                <w:szCs w:val="21"/>
                <w:vertAlign w:val="superscript"/>
              </w:rPr>
              <w:t>3</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液体10~50 m</w:t>
            </w:r>
            <w:r>
              <w:rPr>
                <w:rFonts w:hint="eastAsia" w:ascii="宋体" w:hAnsi="宋体" w:eastAsia="宋体" w:cs="宋体"/>
                <w:color w:val="auto"/>
                <w:sz w:val="21"/>
                <w:szCs w:val="21"/>
                <w:vertAlign w:val="superscript"/>
              </w:rPr>
              <w:t>3</w:t>
            </w:r>
          </w:p>
        </w:tc>
        <w:tc>
          <w:tcPr>
            <w:tcW w:w="188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气体＜100 m</w:t>
            </w:r>
            <w:r>
              <w:rPr>
                <w:rFonts w:hint="eastAsia" w:ascii="宋体" w:hAnsi="宋体" w:eastAsia="宋体" w:cs="宋体"/>
                <w:color w:val="auto"/>
                <w:sz w:val="21"/>
                <w:szCs w:val="21"/>
                <w:vertAlign w:val="superscript"/>
              </w:rPr>
              <w:t>3</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液体＜10 m</w:t>
            </w:r>
            <w:r>
              <w:rPr>
                <w:rFonts w:hint="eastAsia" w:ascii="宋体" w:hAnsi="宋体" w:eastAsia="宋体" w:cs="宋体"/>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12"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温度</w:t>
            </w:r>
          </w:p>
        </w:tc>
        <w:tc>
          <w:tcPr>
            <w:tcW w:w="209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1000℃以上使用，其操作温度在燃点以上</w:t>
            </w:r>
          </w:p>
        </w:tc>
        <w:tc>
          <w:tcPr>
            <w:tcW w:w="2256" w:type="dxa"/>
            <w:vAlign w:val="center"/>
          </w:tcPr>
          <w:p>
            <w:pPr>
              <w:spacing w:line="280" w:lineRule="exact"/>
              <w:jc w:val="center"/>
              <w:rPr>
                <w:rFonts w:hint="eastAsia" w:ascii="宋体" w:hAnsi="宋体" w:eastAsia="宋体" w:cs="宋体"/>
                <w:color w:val="auto"/>
                <w:spacing w:val="-8"/>
                <w:sz w:val="21"/>
                <w:szCs w:val="21"/>
              </w:rPr>
            </w:pPr>
            <w:r>
              <w:rPr>
                <w:rFonts w:hint="eastAsia" w:ascii="宋体" w:hAnsi="宋体" w:eastAsia="宋体" w:cs="宋体"/>
                <w:color w:val="auto"/>
                <w:spacing w:val="-8"/>
                <w:sz w:val="21"/>
                <w:szCs w:val="21"/>
              </w:rPr>
              <w:t>1000℃以上使用，但操作温度在燃点以下；</w:t>
            </w:r>
          </w:p>
          <w:p>
            <w:pPr>
              <w:spacing w:line="280" w:lineRule="exact"/>
              <w:jc w:val="center"/>
              <w:rPr>
                <w:rFonts w:hint="eastAsia" w:ascii="宋体" w:hAnsi="宋体" w:eastAsia="宋体" w:cs="宋体"/>
                <w:color w:val="auto"/>
                <w:spacing w:val="-8"/>
                <w:sz w:val="21"/>
                <w:szCs w:val="21"/>
              </w:rPr>
            </w:pPr>
            <w:r>
              <w:rPr>
                <w:rFonts w:hint="eastAsia" w:ascii="宋体" w:hAnsi="宋体" w:eastAsia="宋体" w:cs="宋体"/>
                <w:color w:val="auto"/>
                <w:spacing w:val="-8"/>
                <w:sz w:val="21"/>
                <w:szCs w:val="21"/>
              </w:rPr>
              <w:t>在250~1000℃使用，其操作温度在燃点以上</w:t>
            </w:r>
          </w:p>
        </w:tc>
        <w:tc>
          <w:tcPr>
            <w:tcW w:w="2256" w:type="dxa"/>
            <w:vAlign w:val="center"/>
          </w:tcPr>
          <w:p>
            <w:pPr>
              <w:spacing w:line="280" w:lineRule="exact"/>
              <w:jc w:val="center"/>
              <w:rPr>
                <w:rFonts w:hint="eastAsia" w:ascii="宋体" w:hAnsi="宋体" w:eastAsia="宋体" w:cs="宋体"/>
                <w:color w:val="auto"/>
                <w:spacing w:val="-8"/>
                <w:sz w:val="21"/>
                <w:szCs w:val="21"/>
              </w:rPr>
            </w:pPr>
            <w:r>
              <w:rPr>
                <w:rFonts w:hint="eastAsia" w:ascii="宋体" w:hAnsi="宋体" w:eastAsia="宋体" w:cs="宋体"/>
                <w:color w:val="auto"/>
                <w:spacing w:val="-8"/>
                <w:sz w:val="21"/>
                <w:szCs w:val="21"/>
              </w:rPr>
              <w:t>在250~1000℃使用，但操作温度在燃点以下；</w:t>
            </w:r>
          </w:p>
          <w:p>
            <w:pPr>
              <w:spacing w:line="280" w:lineRule="exact"/>
              <w:jc w:val="center"/>
              <w:rPr>
                <w:rFonts w:hint="eastAsia" w:ascii="宋体" w:hAnsi="宋体" w:eastAsia="宋体" w:cs="宋体"/>
                <w:color w:val="auto"/>
                <w:spacing w:val="-8"/>
                <w:sz w:val="21"/>
                <w:szCs w:val="21"/>
              </w:rPr>
            </w:pPr>
            <w:r>
              <w:rPr>
                <w:rFonts w:hint="eastAsia" w:ascii="宋体" w:hAnsi="宋体" w:eastAsia="宋体" w:cs="宋体"/>
                <w:color w:val="auto"/>
                <w:spacing w:val="-8"/>
                <w:sz w:val="21"/>
                <w:szCs w:val="21"/>
              </w:rPr>
              <w:t>在低于在250℃使用，其操作温度在燃点以上</w:t>
            </w:r>
          </w:p>
        </w:tc>
        <w:tc>
          <w:tcPr>
            <w:tcW w:w="188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在低于在250℃使用，其操作温度在燃点以下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12"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压力</w:t>
            </w:r>
          </w:p>
        </w:tc>
        <w:tc>
          <w:tcPr>
            <w:tcW w:w="209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100MPa</w:t>
            </w:r>
          </w:p>
        </w:tc>
        <w:tc>
          <w:tcPr>
            <w:tcW w:w="225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20~100 MPa</w:t>
            </w:r>
          </w:p>
        </w:tc>
        <w:tc>
          <w:tcPr>
            <w:tcW w:w="225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1~20 MPa</w:t>
            </w:r>
          </w:p>
        </w:tc>
        <w:tc>
          <w:tcPr>
            <w:tcW w:w="188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 MPa以下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12"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操作</w:t>
            </w:r>
          </w:p>
        </w:tc>
        <w:tc>
          <w:tcPr>
            <w:tcW w:w="209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临界放热和特别剧烈的反应操作</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在爆炸极限范围内或其附近操作</w:t>
            </w:r>
          </w:p>
        </w:tc>
        <w:tc>
          <w:tcPr>
            <w:tcW w:w="225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中等放热反应；</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系统进入空气或不纯物质，可能发生危险的操作；</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使用粉状或雾状物质，有可能发生粉尘爆炸的操作</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单批式操作</w:t>
            </w:r>
          </w:p>
        </w:tc>
        <w:tc>
          <w:tcPr>
            <w:tcW w:w="225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轻微放热反应；</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在精制过程中伴有化学反应；</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单批式操作，但开始使用机械进行程序操作；</w:t>
            </w:r>
          </w:p>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有一定危险的操作</w:t>
            </w:r>
          </w:p>
        </w:tc>
        <w:tc>
          <w:tcPr>
            <w:tcW w:w="188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无危险的操作</w:t>
            </w:r>
          </w:p>
        </w:tc>
      </w:tr>
    </w:tbl>
    <w:p>
      <w:pPr>
        <w:ind w:firstLine="493" w:firstLineChars="196"/>
        <w:jc w:val="center"/>
        <w:rPr>
          <w:rStyle w:val="40"/>
          <w:rFonts w:hint="eastAsia" w:ascii="宋体" w:hAnsi="宋体" w:eastAsia="宋体" w:cs="宋体"/>
          <w:color w:val="auto"/>
        </w:rPr>
      </w:pPr>
      <w:r>
        <w:rPr>
          <w:rStyle w:val="40"/>
          <w:rFonts w:hint="eastAsia" w:ascii="宋体" w:hAnsi="宋体" w:eastAsia="宋体" w:cs="宋体"/>
          <w:color w:val="auto"/>
        </w:rPr>
        <w:t>表4.3-7  危险度分级表</w:t>
      </w:r>
    </w:p>
    <w:tbl>
      <w:tblPr>
        <w:tblStyle w:val="2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50"/>
        <w:gridCol w:w="2350"/>
        <w:gridCol w:w="2350"/>
        <w:gridCol w:w="23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350" w:type="dxa"/>
            <w:tcBorders>
              <w:top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总分值</w:t>
            </w:r>
          </w:p>
        </w:tc>
        <w:tc>
          <w:tcPr>
            <w:tcW w:w="23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≥16分</w:t>
            </w:r>
          </w:p>
        </w:tc>
        <w:tc>
          <w:tcPr>
            <w:tcW w:w="23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11~15分</w:t>
            </w:r>
          </w:p>
        </w:tc>
        <w:tc>
          <w:tcPr>
            <w:tcW w:w="2350" w:type="dxa"/>
            <w:tcBorders>
              <w:top w:val="single" w:color="auto" w:sz="4" w:space="0"/>
              <w:left w:val="single" w:color="auto" w:sz="4" w:space="0"/>
              <w:bottom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350" w:type="dxa"/>
            <w:tcBorders>
              <w:top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等级</w:t>
            </w:r>
          </w:p>
        </w:tc>
        <w:tc>
          <w:tcPr>
            <w:tcW w:w="23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Ⅰ</w:t>
            </w:r>
          </w:p>
        </w:tc>
        <w:tc>
          <w:tcPr>
            <w:tcW w:w="23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Ⅱ</w:t>
            </w:r>
          </w:p>
        </w:tc>
        <w:tc>
          <w:tcPr>
            <w:tcW w:w="2350" w:type="dxa"/>
            <w:tcBorders>
              <w:top w:val="single" w:color="auto" w:sz="4" w:space="0"/>
              <w:left w:val="single" w:color="auto" w:sz="4" w:space="0"/>
              <w:bottom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350" w:type="dxa"/>
            <w:tcBorders>
              <w:top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危险程度</w:t>
            </w:r>
          </w:p>
        </w:tc>
        <w:tc>
          <w:tcPr>
            <w:tcW w:w="23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高度危险</w:t>
            </w:r>
          </w:p>
        </w:tc>
        <w:tc>
          <w:tcPr>
            <w:tcW w:w="2350"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中度危险</w:t>
            </w:r>
          </w:p>
        </w:tc>
        <w:tc>
          <w:tcPr>
            <w:tcW w:w="2350" w:type="dxa"/>
            <w:tcBorders>
              <w:top w:val="single" w:color="auto" w:sz="4" w:space="0"/>
              <w:left w:val="single" w:color="auto" w:sz="4" w:space="0"/>
              <w:bottom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低度危险</w:t>
            </w:r>
          </w:p>
        </w:tc>
      </w:tr>
    </w:tbl>
    <w:p>
      <w:pPr>
        <w:pStyle w:val="6"/>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32"/>
        </w:rPr>
      </w:pPr>
      <w:r>
        <w:rPr>
          <w:rFonts w:hint="eastAsia" w:ascii="宋体" w:hAnsi="宋体" w:eastAsia="宋体" w:cs="宋体"/>
          <w:color w:val="auto"/>
          <w:szCs w:val="28"/>
        </w:rPr>
        <w:br w:type="page"/>
      </w:r>
      <w:bookmarkStart w:id="323" w:name="_Toc26414"/>
      <w:bookmarkStart w:id="324" w:name="_Toc25567"/>
      <w:bookmarkStart w:id="325" w:name="_Toc12632"/>
      <w:bookmarkStart w:id="326" w:name="_Toc2020"/>
      <w:bookmarkStart w:id="327" w:name="_Toc13457"/>
      <w:r>
        <w:rPr>
          <w:rFonts w:hint="eastAsia" w:ascii="宋体" w:hAnsi="宋体" w:eastAsia="宋体" w:cs="宋体"/>
          <w:color w:val="auto"/>
          <w:szCs w:val="32"/>
        </w:rPr>
        <w:t>5危险有害程度评价</w:t>
      </w:r>
      <w:bookmarkEnd w:id="323"/>
      <w:bookmarkEnd w:id="324"/>
      <w:bookmarkEnd w:id="325"/>
      <w:bookmarkEnd w:id="326"/>
      <w:bookmarkEnd w:id="327"/>
    </w:p>
    <w:p>
      <w:pPr>
        <w:pStyle w:val="7"/>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328" w:name="_Toc370801304"/>
      <w:bookmarkStart w:id="329" w:name="_Toc269801572"/>
      <w:bookmarkStart w:id="330" w:name="_Toc32326"/>
      <w:bookmarkStart w:id="331" w:name="_Toc25188"/>
      <w:bookmarkStart w:id="332" w:name="_Toc486427809"/>
      <w:bookmarkStart w:id="333" w:name="_Toc796"/>
      <w:bookmarkStart w:id="334" w:name="_Toc25014"/>
      <w:bookmarkStart w:id="335" w:name="_Toc1590"/>
      <w:r>
        <w:rPr>
          <w:rFonts w:hint="eastAsia" w:ascii="宋体" w:hAnsi="宋体" w:eastAsia="宋体" w:cs="宋体"/>
          <w:color w:val="auto"/>
          <w:sz w:val="30"/>
          <w:szCs w:val="30"/>
        </w:rPr>
        <w:t>5.1</w:t>
      </w:r>
      <w:bookmarkEnd w:id="328"/>
      <w:bookmarkEnd w:id="329"/>
      <w:r>
        <w:rPr>
          <w:rFonts w:hint="eastAsia" w:ascii="宋体" w:hAnsi="宋体" w:eastAsia="宋体" w:cs="宋体"/>
          <w:color w:val="auto"/>
          <w:sz w:val="30"/>
          <w:szCs w:val="30"/>
        </w:rPr>
        <w:t>固有的危险程度分析</w:t>
      </w:r>
      <w:bookmarkEnd w:id="330"/>
      <w:bookmarkEnd w:id="331"/>
      <w:bookmarkEnd w:id="332"/>
      <w:bookmarkEnd w:id="333"/>
      <w:bookmarkEnd w:id="334"/>
      <w:bookmarkEnd w:id="335"/>
    </w:p>
    <w:p>
      <w:pPr>
        <w:pageBreakBefore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通过本报告第三章主要危险有害性分析可知，该站涉及的氨气、氨水属于危险化学品，其中氨气属于易燃气体类别2、急性毒性-吸入,类别3*、皮肤腐蚀/刺激,类别1B、严重眼损伤/眼刺激,类别1，氨水属于皮肤腐蚀/刺激,类别1B、严重眼损伤/眼刺激,类别1。其具有的化学品数量、状态、所在的作业场所（部位）、温度及压力见表5-1。</w:t>
      </w:r>
    </w:p>
    <w:p>
      <w:pPr>
        <w:pStyle w:val="19"/>
        <w:pageBreakBefore w:val="0"/>
        <w:widowControl w:val="0"/>
        <w:kinsoku/>
        <w:wordWrap/>
        <w:overflowPunct/>
        <w:topLinePunct w:val="0"/>
        <w:autoSpaceDE/>
        <w:autoSpaceDN/>
        <w:bidi w:val="0"/>
        <w:adjustRightInd/>
        <w:snapToGrid/>
        <w:spacing w:before="0" w:beforeAutospacing="0" w:after="0" w:afterAutospacing="0" w:line="600" w:lineRule="exact"/>
        <w:ind w:firstLine="2595" w:firstLineChars="927"/>
        <w:jc w:val="both"/>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表5-1  固有的危险特性数据表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489"/>
        <w:gridCol w:w="1044"/>
        <w:gridCol w:w="1469"/>
        <w:gridCol w:w="1570"/>
        <w:gridCol w:w="1295"/>
        <w:gridCol w:w="1468"/>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10" w:type="pct"/>
            <w:vAlign w:val="center"/>
          </w:tcPr>
          <w:p>
            <w:pPr>
              <w:spacing w:line="2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名称</w:t>
            </w:r>
          </w:p>
        </w:tc>
        <w:tc>
          <w:tcPr>
            <w:tcW w:w="263" w:type="pct"/>
            <w:vAlign w:val="center"/>
          </w:tcPr>
          <w:p>
            <w:pPr>
              <w:spacing w:line="2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状态</w:t>
            </w:r>
          </w:p>
        </w:tc>
        <w:tc>
          <w:tcPr>
            <w:tcW w:w="562" w:type="pct"/>
            <w:vAlign w:val="center"/>
          </w:tcPr>
          <w:p>
            <w:pPr>
              <w:spacing w:line="2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最大存有量（T）</w:t>
            </w:r>
          </w:p>
        </w:tc>
        <w:tc>
          <w:tcPr>
            <w:tcW w:w="791" w:type="pct"/>
            <w:vAlign w:val="center"/>
          </w:tcPr>
          <w:p>
            <w:pPr>
              <w:spacing w:line="2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所在的作业场所（部位）</w:t>
            </w:r>
          </w:p>
        </w:tc>
        <w:tc>
          <w:tcPr>
            <w:tcW w:w="845" w:type="pct"/>
            <w:vAlign w:val="center"/>
          </w:tcPr>
          <w:p>
            <w:pPr>
              <w:spacing w:line="2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危险特性</w:t>
            </w:r>
          </w:p>
        </w:tc>
        <w:tc>
          <w:tcPr>
            <w:tcW w:w="697" w:type="pct"/>
            <w:vAlign w:val="center"/>
          </w:tcPr>
          <w:p>
            <w:pPr>
              <w:spacing w:line="2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温度</w:t>
            </w:r>
          </w:p>
        </w:tc>
        <w:tc>
          <w:tcPr>
            <w:tcW w:w="790" w:type="pct"/>
            <w:vAlign w:val="center"/>
          </w:tcPr>
          <w:p>
            <w:pPr>
              <w:spacing w:line="2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工作压力</w:t>
            </w:r>
          </w:p>
        </w:tc>
        <w:tc>
          <w:tcPr>
            <w:tcW w:w="538" w:type="pct"/>
            <w:vAlign w:val="center"/>
          </w:tcPr>
          <w:p>
            <w:pPr>
              <w:spacing w:line="2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1" w:hRule="atLeast"/>
          <w:jc w:val="center"/>
        </w:trPr>
        <w:tc>
          <w:tcPr>
            <w:tcW w:w="510" w:type="pct"/>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氨气</w:t>
            </w:r>
          </w:p>
        </w:tc>
        <w:tc>
          <w:tcPr>
            <w:tcW w:w="263" w:type="pct"/>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气体</w:t>
            </w:r>
          </w:p>
        </w:tc>
        <w:tc>
          <w:tcPr>
            <w:tcW w:w="562" w:type="pct"/>
            <w:vAlign w:val="center"/>
          </w:tcPr>
          <w:p>
            <w:pPr>
              <w:spacing w:line="280" w:lineRule="exact"/>
              <w:jc w:val="center"/>
              <w:rPr>
                <w:rFonts w:hint="eastAsia" w:ascii="宋体" w:hAnsi="宋体" w:eastAsia="宋体" w:cs="宋体"/>
                <w:color w:val="auto"/>
                <w:sz w:val="21"/>
                <w:szCs w:val="21"/>
                <w:vertAlign w:val="superscript"/>
              </w:rPr>
            </w:pPr>
            <w:r>
              <w:rPr>
                <w:rFonts w:hint="eastAsia" w:ascii="宋体" w:hAnsi="宋体" w:eastAsia="宋体" w:cs="宋体"/>
                <w:color w:val="auto"/>
                <w:sz w:val="21"/>
                <w:szCs w:val="21"/>
              </w:rPr>
              <w:t>0.1</w:t>
            </w:r>
          </w:p>
        </w:tc>
        <w:tc>
          <w:tcPr>
            <w:tcW w:w="791" w:type="pct"/>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101外延芯片厂房（氨气回收装置）</w:t>
            </w:r>
          </w:p>
        </w:tc>
        <w:tc>
          <w:tcPr>
            <w:tcW w:w="845" w:type="pct"/>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火灾爆炸、中毒与窒息等</w:t>
            </w:r>
          </w:p>
        </w:tc>
        <w:tc>
          <w:tcPr>
            <w:tcW w:w="697" w:type="pct"/>
            <w:vAlign w:val="center"/>
          </w:tcPr>
          <w:p>
            <w:pPr>
              <w:pStyle w:val="64"/>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60</w:t>
            </w:r>
            <w:r>
              <w:rPr>
                <w:rFonts w:hint="eastAsia" w:ascii="宋体" w:hAnsi="宋体" w:eastAsia="宋体" w:cs="宋体"/>
                <w:color w:val="auto"/>
                <w:spacing w:val="-8"/>
                <w:sz w:val="21"/>
                <w:szCs w:val="21"/>
              </w:rPr>
              <w:t>℃</w:t>
            </w:r>
          </w:p>
        </w:tc>
        <w:tc>
          <w:tcPr>
            <w:tcW w:w="790" w:type="pct"/>
            <w:vAlign w:val="center"/>
          </w:tcPr>
          <w:p>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0.2MPa</w:t>
            </w:r>
          </w:p>
        </w:tc>
        <w:tc>
          <w:tcPr>
            <w:tcW w:w="538" w:type="pct"/>
            <w:vAlign w:val="center"/>
          </w:tcPr>
          <w:p>
            <w:pPr>
              <w:spacing w:line="28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1" w:hRule="atLeast"/>
          <w:jc w:val="center"/>
        </w:trPr>
        <w:tc>
          <w:tcPr>
            <w:tcW w:w="510" w:type="pct"/>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氨水</w:t>
            </w:r>
          </w:p>
        </w:tc>
        <w:tc>
          <w:tcPr>
            <w:tcW w:w="263" w:type="pct"/>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液体</w:t>
            </w:r>
          </w:p>
        </w:tc>
        <w:tc>
          <w:tcPr>
            <w:tcW w:w="562" w:type="pct"/>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180</w:t>
            </w:r>
          </w:p>
        </w:tc>
        <w:tc>
          <w:tcPr>
            <w:tcW w:w="791" w:type="pct"/>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115废水车间（氨水储罐）</w:t>
            </w:r>
          </w:p>
        </w:tc>
        <w:tc>
          <w:tcPr>
            <w:tcW w:w="845" w:type="pct"/>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火灾爆炸、中毒与窒息等</w:t>
            </w:r>
          </w:p>
        </w:tc>
        <w:tc>
          <w:tcPr>
            <w:tcW w:w="697" w:type="pct"/>
            <w:vAlign w:val="center"/>
          </w:tcPr>
          <w:p>
            <w:pPr>
              <w:pStyle w:val="64"/>
              <w:spacing w:line="280" w:lineRule="exact"/>
              <w:rPr>
                <w:rFonts w:hint="eastAsia" w:ascii="宋体" w:hAnsi="宋体" w:eastAsia="宋体" w:cs="宋体"/>
                <w:color w:val="auto"/>
                <w:spacing w:val="-8"/>
                <w:sz w:val="21"/>
                <w:szCs w:val="21"/>
              </w:rPr>
            </w:pPr>
            <w:r>
              <w:rPr>
                <w:rFonts w:hint="eastAsia" w:ascii="宋体" w:hAnsi="宋体" w:eastAsia="宋体" w:cs="宋体"/>
                <w:color w:val="auto"/>
                <w:spacing w:val="-8"/>
                <w:sz w:val="21"/>
                <w:szCs w:val="21"/>
              </w:rPr>
              <w:t>常温</w:t>
            </w:r>
          </w:p>
        </w:tc>
        <w:tc>
          <w:tcPr>
            <w:tcW w:w="790" w:type="pct"/>
            <w:vAlign w:val="center"/>
          </w:tcPr>
          <w:p>
            <w:pPr>
              <w:spacing w:line="280" w:lineRule="exact"/>
              <w:jc w:val="center"/>
              <w:rPr>
                <w:rFonts w:hint="eastAsia" w:ascii="宋体" w:hAnsi="宋体" w:eastAsia="宋体" w:cs="宋体"/>
                <w:color w:val="auto"/>
                <w:spacing w:val="-8"/>
                <w:sz w:val="21"/>
                <w:szCs w:val="21"/>
              </w:rPr>
            </w:pPr>
            <w:r>
              <w:rPr>
                <w:rFonts w:hint="eastAsia" w:ascii="宋体" w:hAnsi="宋体" w:eastAsia="宋体" w:cs="宋体"/>
                <w:color w:val="auto"/>
                <w:spacing w:val="-8"/>
                <w:sz w:val="21"/>
                <w:szCs w:val="21"/>
              </w:rPr>
              <w:t>常压</w:t>
            </w:r>
          </w:p>
        </w:tc>
        <w:tc>
          <w:tcPr>
            <w:tcW w:w="538" w:type="pct"/>
            <w:vAlign w:val="center"/>
          </w:tcPr>
          <w:p>
            <w:pPr>
              <w:spacing w:line="280" w:lineRule="exact"/>
              <w:jc w:val="center"/>
              <w:rPr>
                <w:rFonts w:hint="eastAsia" w:ascii="宋体" w:hAnsi="宋体" w:eastAsia="宋体" w:cs="宋体"/>
                <w:color w:val="auto"/>
                <w:sz w:val="21"/>
                <w:szCs w:val="21"/>
              </w:rPr>
            </w:pPr>
          </w:p>
        </w:tc>
      </w:tr>
    </w:tbl>
    <w:p>
      <w:pPr>
        <w:pStyle w:val="7"/>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0"/>
          <w:szCs w:val="30"/>
        </w:rPr>
      </w:pPr>
      <w:bookmarkStart w:id="336" w:name="_Toc15856"/>
      <w:bookmarkStart w:id="337" w:name="_Toc486427810"/>
      <w:bookmarkStart w:id="338" w:name="_Toc14824"/>
      <w:bookmarkStart w:id="339" w:name="_Toc30294"/>
      <w:bookmarkStart w:id="340" w:name="_Toc10823"/>
      <w:bookmarkStart w:id="341" w:name="_Toc32551"/>
      <w:r>
        <w:rPr>
          <w:rFonts w:hint="eastAsia" w:ascii="宋体" w:hAnsi="宋体" w:eastAsia="宋体" w:cs="宋体"/>
          <w:color w:val="auto"/>
          <w:sz w:val="30"/>
          <w:szCs w:val="30"/>
        </w:rPr>
        <w:t>5.2危险度分析评价</w:t>
      </w:r>
      <w:bookmarkEnd w:id="336"/>
      <w:bookmarkEnd w:id="337"/>
      <w:bookmarkEnd w:id="338"/>
      <w:bookmarkEnd w:id="339"/>
      <w:bookmarkEnd w:id="340"/>
      <w:bookmarkEnd w:id="341"/>
    </w:p>
    <w:p>
      <w:pPr>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28"/>
        </w:rPr>
      </w:pPr>
      <w:r>
        <w:rPr>
          <w:rFonts w:hint="eastAsia" w:ascii="宋体" w:hAnsi="宋体" w:eastAsia="宋体" w:cs="宋体"/>
          <w:color w:val="auto"/>
          <w:szCs w:val="28"/>
        </w:rPr>
        <w:t xml:space="preserve">     本评价单元为101外延芯片厂房（氨气回收装置）、115废水车间（氨水储罐）作业区单元。</w:t>
      </w:r>
    </w:p>
    <w:p>
      <w:pPr>
        <w:pageBreakBefore w:val="0"/>
        <w:widowControl/>
        <w:kinsoku/>
        <w:wordWrap/>
        <w:overflowPunct/>
        <w:topLinePunct w:val="0"/>
        <w:autoSpaceDE/>
        <w:autoSpaceDN/>
        <w:bidi w:val="0"/>
        <w:adjustRightInd/>
        <w:snapToGrid/>
        <w:spacing w:line="600" w:lineRule="exact"/>
        <w:ind w:firstLine="560" w:firstLineChars="200"/>
        <w:jc w:val="center"/>
        <w:textAlignment w:val="auto"/>
        <w:rPr>
          <w:rFonts w:hint="eastAsia" w:ascii="宋体" w:hAnsi="宋体" w:eastAsia="宋体" w:cs="宋体"/>
          <w:color w:val="auto"/>
          <w:szCs w:val="28"/>
        </w:rPr>
      </w:pPr>
      <w:r>
        <w:rPr>
          <w:rFonts w:hint="eastAsia" w:ascii="宋体" w:hAnsi="宋体" w:eastAsia="宋体" w:cs="宋体"/>
          <w:b/>
          <w:color w:val="auto"/>
          <w:kern w:val="0"/>
          <w:szCs w:val="28"/>
        </w:rPr>
        <w:t>表5-2  危险度评价取值表</w:t>
      </w:r>
    </w:p>
    <w:tbl>
      <w:tblPr>
        <w:tblStyle w:val="28"/>
        <w:tblW w:w="500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579"/>
        <w:gridCol w:w="1774"/>
        <w:gridCol w:w="992"/>
        <w:gridCol w:w="950"/>
        <w:gridCol w:w="906"/>
        <w:gridCol w:w="977"/>
        <w:gridCol w:w="977"/>
        <w:gridCol w:w="975"/>
        <w:gridCol w:w="9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9" w:hRule="atLeast"/>
          <w:jc w:val="center"/>
        </w:trPr>
        <w:tc>
          <w:tcPr>
            <w:tcW w:w="318" w:type="pct"/>
            <w:tcMar>
              <w:top w:w="0" w:type="dxa"/>
              <w:left w:w="0" w:type="dxa"/>
              <w:bottom w:w="0" w:type="dxa"/>
              <w:right w:w="0" w:type="dxa"/>
            </w:tcMar>
            <w:vAlign w:val="center"/>
          </w:tcPr>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序号</w:t>
            </w:r>
          </w:p>
        </w:tc>
        <w:tc>
          <w:tcPr>
            <w:tcW w:w="973" w:type="pct"/>
            <w:tcMar>
              <w:top w:w="0" w:type="dxa"/>
              <w:left w:w="0" w:type="dxa"/>
              <w:bottom w:w="0" w:type="dxa"/>
              <w:right w:w="0" w:type="dxa"/>
            </w:tcMar>
            <w:vAlign w:val="center"/>
          </w:tcPr>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评价单元</w:t>
            </w:r>
          </w:p>
        </w:tc>
        <w:tc>
          <w:tcPr>
            <w:tcW w:w="544" w:type="pct"/>
            <w:tcMar>
              <w:top w:w="0" w:type="dxa"/>
              <w:left w:w="0" w:type="dxa"/>
              <w:bottom w:w="0" w:type="dxa"/>
              <w:right w:w="0" w:type="dxa"/>
            </w:tcMar>
            <w:vAlign w:val="center"/>
          </w:tcPr>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物质</w:t>
            </w:r>
          </w:p>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评分</w:t>
            </w:r>
          </w:p>
        </w:tc>
        <w:tc>
          <w:tcPr>
            <w:tcW w:w="521" w:type="pct"/>
            <w:tcMar>
              <w:top w:w="0" w:type="dxa"/>
              <w:left w:w="0" w:type="dxa"/>
              <w:bottom w:w="0" w:type="dxa"/>
              <w:right w:w="0" w:type="dxa"/>
            </w:tcMar>
            <w:vAlign w:val="center"/>
          </w:tcPr>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容量</w:t>
            </w:r>
          </w:p>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评分</w:t>
            </w:r>
          </w:p>
        </w:tc>
        <w:tc>
          <w:tcPr>
            <w:tcW w:w="497" w:type="pct"/>
            <w:tcMar>
              <w:top w:w="0" w:type="dxa"/>
              <w:left w:w="0" w:type="dxa"/>
              <w:bottom w:w="0" w:type="dxa"/>
              <w:right w:w="0" w:type="dxa"/>
            </w:tcMar>
            <w:vAlign w:val="center"/>
          </w:tcPr>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温度</w:t>
            </w:r>
          </w:p>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评分</w:t>
            </w:r>
          </w:p>
        </w:tc>
        <w:tc>
          <w:tcPr>
            <w:tcW w:w="536" w:type="pct"/>
            <w:tcMar>
              <w:top w:w="0" w:type="dxa"/>
              <w:left w:w="0" w:type="dxa"/>
              <w:bottom w:w="0" w:type="dxa"/>
              <w:right w:w="0" w:type="dxa"/>
            </w:tcMar>
            <w:vAlign w:val="center"/>
          </w:tcPr>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压力</w:t>
            </w:r>
          </w:p>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评分</w:t>
            </w:r>
          </w:p>
        </w:tc>
        <w:tc>
          <w:tcPr>
            <w:tcW w:w="536" w:type="pct"/>
            <w:tcMar>
              <w:top w:w="0" w:type="dxa"/>
              <w:left w:w="0" w:type="dxa"/>
              <w:bottom w:w="0" w:type="dxa"/>
              <w:right w:w="0" w:type="dxa"/>
            </w:tcMar>
            <w:vAlign w:val="center"/>
          </w:tcPr>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操作</w:t>
            </w:r>
          </w:p>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评分</w:t>
            </w:r>
          </w:p>
        </w:tc>
        <w:tc>
          <w:tcPr>
            <w:tcW w:w="535" w:type="pct"/>
            <w:tcMar>
              <w:top w:w="0" w:type="dxa"/>
              <w:left w:w="0" w:type="dxa"/>
              <w:bottom w:w="0" w:type="dxa"/>
              <w:right w:w="0" w:type="dxa"/>
            </w:tcMar>
            <w:vAlign w:val="center"/>
          </w:tcPr>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总分</w:t>
            </w:r>
          </w:p>
        </w:tc>
        <w:tc>
          <w:tcPr>
            <w:tcW w:w="536" w:type="pct"/>
            <w:tcMar>
              <w:top w:w="0" w:type="dxa"/>
              <w:left w:w="0" w:type="dxa"/>
              <w:bottom w:w="0" w:type="dxa"/>
              <w:right w:w="0" w:type="dxa"/>
            </w:tcMar>
            <w:vAlign w:val="center"/>
          </w:tcPr>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危险</w:t>
            </w:r>
          </w:p>
          <w:p>
            <w:pPr>
              <w:pStyle w:val="65"/>
              <w:spacing w:line="280" w:lineRule="exact"/>
              <w:rPr>
                <w:rFonts w:hint="eastAsia" w:ascii="宋体" w:hAnsi="宋体" w:eastAsia="宋体" w:cs="宋体"/>
                <w:b/>
                <w:bCs/>
                <w:color w:val="auto"/>
              </w:rPr>
            </w:pPr>
            <w:r>
              <w:rPr>
                <w:rFonts w:hint="eastAsia" w:ascii="宋体" w:hAnsi="宋体" w:eastAsia="宋体" w:cs="宋体"/>
                <w:b/>
                <w:bCs/>
                <w:color w:val="auto"/>
              </w:rPr>
              <w:t>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jc w:val="center"/>
        </w:trPr>
        <w:tc>
          <w:tcPr>
            <w:tcW w:w="318"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1</w:t>
            </w:r>
          </w:p>
        </w:tc>
        <w:tc>
          <w:tcPr>
            <w:tcW w:w="973" w:type="pct"/>
            <w:tcMar>
              <w:left w:w="0" w:type="dxa"/>
              <w:right w:w="0" w:type="dxa"/>
            </w:tcMar>
            <w:vAlign w:val="center"/>
          </w:tcPr>
          <w:p>
            <w:pPr>
              <w:spacing w:line="280" w:lineRule="exact"/>
              <w:jc w:val="center"/>
              <w:rPr>
                <w:rFonts w:hint="eastAsia" w:ascii="宋体" w:hAnsi="宋体" w:eastAsia="宋体" w:cs="宋体"/>
                <w:color w:val="auto"/>
              </w:rPr>
            </w:pPr>
            <w:r>
              <w:rPr>
                <w:rFonts w:hint="eastAsia" w:ascii="宋体" w:hAnsi="宋体" w:eastAsia="宋体" w:cs="宋体"/>
                <w:color w:val="auto"/>
                <w:sz w:val="21"/>
                <w:szCs w:val="21"/>
              </w:rPr>
              <w:t>101外延芯片厂房（氨气回收装置）</w:t>
            </w:r>
          </w:p>
        </w:tc>
        <w:tc>
          <w:tcPr>
            <w:tcW w:w="544"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5</w:t>
            </w:r>
          </w:p>
        </w:tc>
        <w:tc>
          <w:tcPr>
            <w:tcW w:w="521"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2</w:t>
            </w:r>
          </w:p>
        </w:tc>
        <w:tc>
          <w:tcPr>
            <w:tcW w:w="497"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0</w:t>
            </w:r>
          </w:p>
        </w:tc>
        <w:tc>
          <w:tcPr>
            <w:tcW w:w="536"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0</w:t>
            </w:r>
          </w:p>
        </w:tc>
        <w:tc>
          <w:tcPr>
            <w:tcW w:w="536"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2</w:t>
            </w:r>
          </w:p>
        </w:tc>
        <w:tc>
          <w:tcPr>
            <w:tcW w:w="535"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9</w:t>
            </w:r>
          </w:p>
        </w:tc>
        <w:tc>
          <w:tcPr>
            <w:tcW w:w="536"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jc w:val="center"/>
        </w:trPr>
        <w:tc>
          <w:tcPr>
            <w:tcW w:w="318"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2</w:t>
            </w:r>
          </w:p>
        </w:tc>
        <w:tc>
          <w:tcPr>
            <w:tcW w:w="973" w:type="pct"/>
            <w:tcMar>
              <w:left w:w="0" w:type="dxa"/>
              <w:right w:w="0" w:type="dxa"/>
            </w:tcMar>
            <w:vAlign w:val="center"/>
          </w:tcPr>
          <w:p>
            <w:pPr>
              <w:spacing w:line="280" w:lineRule="exact"/>
              <w:jc w:val="center"/>
              <w:rPr>
                <w:rFonts w:hint="eastAsia" w:ascii="宋体" w:hAnsi="宋体" w:eastAsia="宋体" w:cs="宋体"/>
                <w:color w:val="auto"/>
              </w:rPr>
            </w:pPr>
            <w:r>
              <w:rPr>
                <w:rFonts w:hint="eastAsia" w:ascii="宋体" w:hAnsi="宋体" w:eastAsia="宋体" w:cs="宋体"/>
                <w:color w:val="auto"/>
                <w:sz w:val="21"/>
                <w:szCs w:val="21"/>
              </w:rPr>
              <w:t>115废水车间（氨水储罐）</w:t>
            </w:r>
          </w:p>
        </w:tc>
        <w:tc>
          <w:tcPr>
            <w:tcW w:w="544"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0</w:t>
            </w:r>
          </w:p>
        </w:tc>
        <w:tc>
          <w:tcPr>
            <w:tcW w:w="521"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10</w:t>
            </w:r>
          </w:p>
        </w:tc>
        <w:tc>
          <w:tcPr>
            <w:tcW w:w="497"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0</w:t>
            </w:r>
          </w:p>
        </w:tc>
        <w:tc>
          <w:tcPr>
            <w:tcW w:w="536"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0</w:t>
            </w:r>
          </w:p>
        </w:tc>
        <w:tc>
          <w:tcPr>
            <w:tcW w:w="536"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0</w:t>
            </w:r>
          </w:p>
        </w:tc>
        <w:tc>
          <w:tcPr>
            <w:tcW w:w="535"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10</w:t>
            </w:r>
          </w:p>
        </w:tc>
        <w:tc>
          <w:tcPr>
            <w:tcW w:w="536" w:type="pct"/>
            <w:tcMar>
              <w:left w:w="0" w:type="dxa"/>
              <w:right w:w="0" w:type="dxa"/>
            </w:tcMar>
            <w:vAlign w:val="center"/>
          </w:tcPr>
          <w:p>
            <w:pPr>
              <w:pStyle w:val="65"/>
              <w:spacing w:line="280" w:lineRule="exact"/>
              <w:rPr>
                <w:rFonts w:hint="eastAsia" w:ascii="宋体" w:hAnsi="宋体" w:eastAsia="宋体" w:cs="宋体"/>
                <w:color w:val="auto"/>
              </w:rPr>
            </w:pPr>
            <w:r>
              <w:rPr>
                <w:rFonts w:hint="eastAsia" w:ascii="宋体" w:hAnsi="宋体" w:eastAsia="宋体" w:cs="宋体"/>
                <w:color w:val="auto"/>
              </w:rPr>
              <w:t>Ⅲ</w:t>
            </w:r>
          </w:p>
        </w:tc>
      </w:tr>
    </w:tbl>
    <w:p>
      <w:pPr>
        <w:pStyle w:val="7"/>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rPr>
      </w:pPr>
      <w:bookmarkStart w:id="342" w:name="_Toc25606"/>
      <w:bookmarkStart w:id="343" w:name="_Toc15081"/>
      <w:bookmarkStart w:id="344" w:name="_Toc3198"/>
      <w:bookmarkStart w:id="345" w:name="_Toc30031"/>
      <w:r>
        <w:rPr>
          <w:rFonts w:hint="eastAsia" w:ascii="宋体" w:hAnsi="宋体" w:eastAsia="宋体" w:cs="宋体"/>
          <w:color w:val="auto"/>
        </w:rPr>
        <w:t>5.3</w:t>
      </w:r>
      <w:r>
        <w:rPr>
          <w:rFonts w:hint="eastAsia" w:ascii="宋体" w:hAnsi="宋体" w:eastAsia="宋体" w:cs="宋体"/>
          <w:color w:val="auto"/>
        </w:rPr>
        <w:t>作业条件危险性评价法</w:t>
      </w:r>
      <w:bookmarkEnd w:id="342"/>
      <w:bookmarkEnd w:id="343"/>
    </w:p>
    <w:p>
      <w:pPr>
        <w:rPr>
          <w:rFonts w:hint="eastAsia" w:ascii="宋体" w:hAnsi="宋体" w:eastAsia="宋体" w:cs="宋体"/>
          <w:color w:val="auto"/>
          <w:kern w:val="10"/>
          <w:sz w:val="24"/>
        </w:rPr>
      </w:pPr>
      <w:r>
        <w:rPr>
          <w:rFonts w:hint="eastAsia" w:ascii="宋体" w:hAnsi="宋体" w:eastAsia="宋体" w:cs="宋体"/>
          <w:color w:val="auto"/>
          <w:kern w:val="10"/>
          <w:sz w:val="24"/>
        </w:rPr>
        <w:br w:type="page"/>
      </w:r>
    </w:p>
    <w:p>
      <w:pPr>
        <w:pageBreakBefore w:val="0"/>
        <w:kinsoku/>
        <w:wordWrap/>
        <w:overflowPunct/>
        <w:topLinePunct w:val="0"/>
        <w:autoSpaceDE/>
        <w:autoSpaceDN/>
        <w:bidi w:val="0"/>
        <w:adjustRightInd/>
        <w:snapToGrid/>
        <w:spacing w:line="600" w:lineRule="exact"/>
        <w:ind w:firstLine="480"/>
        <w:jc w:val="center"/>
        <w:textAlignment w:val="auto"/>
        <w:rPr>
          <w:rFonts w:hint="eastAsia" w:ascii="宋体" w:hAnsi="宋体" w:eastAsia="宋体" w:cs="宋体"/>
          <w:color w:val="auto"/>
          <w:kern w:val="10"/>
          <w:sz w:val="24"/>
        </w:rPr>
      </w:pPr>
      <w:r>
        <w:rPr>
          <w:rFonts w:hint="eastAsia" w:ascii="宋体" w:hAnsi="宋体" w:eastAsia="宋体" w:cs="宋体"/>
          <w:color w:val="auto"/>
          <w:kern w:val="10"/>
          <w:sz w:val="24"/>
        </w:rPr>
        <w:t>表</w:t>
      </w:r>
      <w:r>
        <w:rPr>
          <w:rFonts w:hint="eastAsia" w:ascii="宋体" w:hAnsi="宋体" w:eastAsia="宋体" w:cs="宋体"/>
          <w:color w:val="auto"/>
          <w:kern w:val="10"/>
          <w:sz w:val="24"/>
        </w:rPr>
        <w:t xml:space="preserve">5-3  </w:t>
      </w:r>
      <w:r>
        <w:rPr>
          <w:rFonts w:hint="eastAsia" w:ascii="宋体" w:hAnsi="宋体" w:eastAsia="宋体" w:cs="宋体"/>
          <w:color w:val="auto"/>
          <w:kern w:val="10"/>
          <w:sz w:val="24"/>
        </w:rPr>
        <w:t>各单元危险评价表</w:t>
      </w:r>
    </w:p>
    <w:tbl>
      <w:tblPr>
        <w:tblStyle w:val="28"/>
        <w:tblW w:w="938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467"/>
        <w:gridCol w:w="2196"/>
        <w:gridCol w:w="650"/>
        <w:gridCol w:w="668"/>
        <w:gridCol w:w="585"/>
        <w:gridCol w:w="882"/>
        <w:gridCol w:w="2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2" w:hRule="atLeast"/>
        </w:trPr>
        <w:tc>
          <w:tcPr>
            <w:tcW w:w="552" w:type="dxa"/>
            <w:vMerge w:val="restart"/>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467" w:type="dxa"/>
            <w:vMerge w:val="restart"/>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评价单元</w:t>
            </w:r>
          </w:p>
        </w:tc>
        <w:tc>
          <w:tcPr>
            <w:tcW w:w="2196" w:type="dxa"/>
            <w:vMerge w:val="restart"/>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危险源及潜在危险</w:t>
            </w:r>
          </w:p>
        </w:tc>
        <w:tc>
          <w:tcPr>
            <w:tcW w:w="2785" w:type="dxa"/>
            <w:gridSpan w:val="4"/>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D＝L×E×C</w:t>
            </w:r>
          </w:p>
        </w:tc>
        <w:tc>
          <w:tcPr>
            <w:tcW w:w="2380" w:type="dxa"/>
            <w:vMerge w:val="restart"/>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8" w:hRule="atLeast"/>
        </w:trPr>
        <w:tc>
          <w:tcPr>
            <w:tcW w:w="552" w:type="dxa"/>
            <w:vMerge w:val="continue"/>
            <w:vAlign w:val="center"/>
          </w:tcPr>
          <w:p>
            <w:pPr>
              <w:widowControl/>
              <w:spacing w:line="240" w:lineRule="exact"/>
              <w:jc w:val="center"/>
              <w:rPr>
                <w:rFonts w:hint="eastAsia" w:ascii="宋体" w:hAnsi="宋体" w:eastAsia="宋体" w:cs="宋体"/>
                <w:color w:val="auto"/>
                <w:sz w:val="21"/>
                <w:szCs w:val="21"/>
              </w:rPr>
            </w:pPr>
          </w:p>
        </w:tc>
        <w:tc>
          <w:tcPr>
            <w:tcW w:w="1467" w:type="dxa"/>
            <w:vMerge w:val="continue"/>
            <w:vAlign w:val="center"/>
          </w:tcPr>
          <w:p>
            <w:pPr>
              <w:widowControl/>
              <w:spacing w:line="240" w:lineRule="exact"/>
              <w:jc w:val="center"/>
              <w:rPr>
                <w:rFonts w:hint="eastAsia" w:ascii="宋体" w:hAnsi="宋体" w:eastAsia="宋体" w:cs="宋体"/>
                <w:color w:val="auto"/>
                <w:sz w:val="21"/>
                <w:szCs w:val="21"/>
              </w:rPr>
            </w:pPr>
          </w:p>
        </w:tc>
        <w:tc>
          <w:tcPr>
            <w:tcW w:w="2196" w:type="dxa"/>
            <w:vMerge w:val="continue"/>
            <w:vAlign w:val="center"/>
          </w:tcPr>
          <w:p>
            <w:pPr>
              <w:widowControl/>
              <w:spacing w:line="240" w:lineRule="exact"/>
              <w:jc w:val="center"/>
              <w:rPr>
                <w:rFonts w:hint="eastAsia" w:ascii="宋体" w:hAnsi="宋体" w:eastAsia="宋体" w:cs="宋体"/>
                <w:color w:val="auto"/>
                <w:sz w:val="21"/>
                <w:szCs w:val="21"/>
              </w:rPr>
            </w:pPr>
          </w:p>
        </w:tc>
        <w:tc>
          <w:tcPr>
            <w:tcW w:w="650"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L</w:t>
            </w:r>
          </w:p>
        </w:tc>
        <w:tc>
          <w:tcPr>
            <w:tcW w:w="668"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E</w:t>
            </w:r>
          </w:p>
        </w:tc>
        <w:tc>
          <w:tcPr>
            <w:tcW w:w="585"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C</w:t>
            </w:r>
          </w:p>
        </w:tc>
        <w:tc>
          <w:tcPr>
            <w:tcW w:w="882"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D</w:t>
            </w:r>
          </w:p>
        </w:tc>
        <w:tc>
          <w:tcPr>
            <w:tcW w:w="2380" w:type="dxa"/>
            <w:vMerge w:val="continue"/>
            <w:vAlign w:val="center"/>
          </w:tcPr>
          <w:p>
            <w:pPr>
              <w:widowControl/>
              <w:spacing w:line="240" w:lineRule="exact"/>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552" w:type="dxa"/>
            <w:vMerge w:val="restart"/>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67" w:type="dxa"/>
            <w:vMerge w:val="restart"/>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101外延芯片厂房（氨气回收装置）</w:t>
            </w:r>
          </w:p>
        </w:tc>
        <w:tc>
          <w:tcPr>
            <w:tcW w:w="2196" w:type="dxa"/>
            <w:vAlign w:val="center"/>
          </w:tcPr>
          <w:p>
            <w:pPr>
              <w:widowControl/>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机械伤害</w:t>
            </w:r>
          </w:p>
        </w:tc>
        <w:tc>
          <w:tcPr>
            <w:tcW w:w="650"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68"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85"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882"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42</w:t>
            </w:r>
          </w:p>
        </w:tc>
        <w:tc>
          <w:tcPr>
            <w:tcW w:w="2380" w:type="dxa"/>
            <w:vAlign w:val="center"/>
          </w:tcPr>
          <w:p>
            <w:pPr>
              <w:widowControl/>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可能危险，需要注意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552" w:type="dxa"/>
            <w:vMerge w:val="continue"/>
            <w:vAlign w:val="center"/>
          </w:tcPr>
          <w:p>
            <w:pPr>
              <w:spacing w:line="240" w:lineRule="exact"/>
              <w:jc w:val="center"/>
              <w:rPr>
                <w:rFonts w:hint="eastAsia" w:ascii="宋体" w:hAnsi="宋体" w:eastAsia="宋体" w:cs="宋体"/>
                <w:color w:val="auto"/>
                <w:sz w:val="21"/>
                <w:szCs w:val="21"/>
              </w:rPr>
            </w:pPr>
          </w:p>
        </w:tc>
        <w:tc>
          <w:tcPr>
            <w:tcW w:w="1467" w:type="dxa"/>
            <w:vMerge w:val="continue"/>
            <w:vAlign w:val="center"/>
          </w:tcPr>
          <w:p>
            <w:pPr>
              <w:widowControl/>
              <w:spacing w:line="240" w:lineRule="exact"/>
              <w:jc w:val="center"/>
              <w:rPr>
                <w:rFonts w:hint="eastAsia" w:ascii="宋体" w:hAnsi="宋体" w:eastAsia="宋体" w:cs="宋体"/>
                <w:color w:val="auto"/>
                <w:sz w:val="21"/>
                <w:szCs w:val="21"/>
              </w:rPr>
            </w:pPr>
          </w:p>
        </w:tc>
        <w:tc>
          <w:tcPr>
            <w:tcW w:w="2196"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电气伤害</w:t>
            </w:r>
          </w:p>
        </w:tc>
        <w:tc>
          <w:tcPr>
            <w:tcW w:w="650"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0.5</w:t>
            </w:r>
          </w:p>
        </w:tc>
        <w:tc>
          <w:tcPr>
            <w:tcW w:w="668" w:type="dxa"/>
          </w:tcPr>
          <w:p>
            <w:pPr>
              <w:widowControl/>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85"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882" w:type="dxa"/>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21</w:t>
            </w:r>
          </w:p>
        </w:tc>
        <w:tc>
          <w:tcPr>
            <w:tcW w:w="2380" w:type="dxa"/>
            <w:vAlign w:val="center"/>
          </w:tcPr>
          <w:p>
            <w:pPr>
              <w:widowControl/>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可能危险，需要注意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552" w:type="dxa"/>
            <w:vMerge w:val="continue"/>
            <w:vAlign w:val="center"/>
          </w:tcPr>
          <w:p>
            <w:pPr>
              <w:spacing w:line="240" w:lineRule="exact"/>
              <w:jc w:val="center"/>
              <w:rPr>
                <w:rFonts w:hint="eastAsia" w:ascii="宋体" w:hAnsi="宋体" w:eastAsia="宋体" w:cs="宋体"/>
                <w:color w:val="auto"/>
                <w:sz w:val="21"/>
                <w:szCs w:val="21"/>
              </w:rPr>
            </w:pPr>
          </w:p>
        </w:tc>
        <w:tc>
          <w:tcPr>
            <w:tcW w:w="1467" w:type="dxa"/>
            <w:vMerge w:val="continue"/>
            <w:vAlign w:val="center"/>
          </w:tcPr>
          <w:p>
            <w:pPr>
              <w:widowControl/>
              <w:spacing w:line="240" w:lineRule="exact"/>
              <w:jc w:val="center"/>
              <w:rPr>
                <w:rFonts w:hint="eastAsia" w:ascii="宋体" w:hAnsi="宋体" w:eastAsia="宋体" w:cs="宋体"/>
                <w:color w:val="auto"/>
                <w:sz w:val="21"/>
                <w:szCs w:val="21"/>
              </w:rPr>
            </w:pPr>
          </w:p>
        </w:tc>
        <w:tc>
          <w:tcPr>
            <w:tcW w:w="2196"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物体打击</w:t>
            </w:r>
          </w:p>
        </w:tc>
        <w:tc>
          <w:tcPr>
            <w:tcW w:w="650"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0.5</w:t>
            </w:r>
          </w:p>
        </w:tc>
        <w:tc>
          <w:tcPr>
            <w:tcW w:w="668" w:type="dxa"/>
          </w:tcPr>
          <w:p>
            <w:pPr>
              <w:widowControl/>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85"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882" w:type="dxa"/>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21</w:t>
            </w:r>
          </w:p>
        </w:tc>
        <w:tc>
          <w:tcPr>
            <w:tcW w:w="2380" w:type="dxa"/>
            <w:vAlign w:val="center"/>
          </w:tcPr>
          <w:p>
            <w:pPr>
              <w:widowControl/>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可能危险，需要注意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552" w:type="dxa"/>
            <w:vMerge w:val="continue"/>
            <w:vAlign w:val="center"/>
          </w:tcPr>
          <w:p>
            <w:pPr>
              <w:spacing w:line="240" w:lineRule="exact"/>
              <w:jc w:val="center"/>
              <w:rPr>
                <w:rFonts w:hint="eastAsia" w:ascii="宋体" w:hAnsi="宋体" w:eastAsia="宋体" w:cs="宋体"/>
                <w:color w:val="auto"/>
                <w:sz w:val="21"/>
                <w:szCs w:val="21"/>
              </w:rPr>
            </w:pPr>
          </w:p>
        </w:tc>
        <w:tc>
          <w:tcPr>
            <w:tcW w:w="1467" w:type="dxa"/>
            <w:vMerge w:val="continue"/>
            <w:vAlign w:val="center"/>
          </w:tcPr>
          <w:p>
            <w:pPr>
              <w:widowControl/>
              <w:spacing w:line="240" w:lineRule="exact"/>
              <w:jc w:val="center"/>
              <w:rPr>
                <w:rFonts w:hint="eastAsia" w:ascii="宋体" w:hAnsi="宋体" w:eastAsia="宋体" w:cs="宋体"/>
                <w:color w:val="auto"/>
                <w:sz w:val="21"/>
                <w:szCs w:val="21"/>
              </w:rPr>
            </w:pPr>
          </w:p>
        </w:tc>
        <w:tc>
          <w:tcPr>
            <w:tcW w:w="2196"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中毒窒息</w:t>
            </w:r>
          </w:p>
        </w:tc>
        <w:tc>
          <w:tcPr>
            <w:tcW w:w="650"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68"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85"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882"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42</w:t>
            </w:r>
          </w:p>
        </w:tc>
        <w:tc>
          <w:tcPr>
            <w:tcW w:w="2380" w:type="dxa"/>
            <w:vAlign w:val="center"/>
          </w:tcPr>
          <w:p>
            <w:pPr>
              <w:widowControl/>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可能危险，需要注意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552" w:type="dxa"/>
            <w:vMerge w:val="continue"/>
            <w:vAlign w:val="center"/>
          </w:tcPr>
          <w:p>
            <w:pPr>
              <w:spacing w:line="240" w:lineRule="exact"/>
              <w:jc w:val="center"/>
              <w:rPr>
                <w:rFonts w:hint="eastAsia" w:ascii="宋体" w:hAnsi="宋体" w:eastAsia="宋体" w:cs="宋体"/>
                <w:color w:val="auto"/>
                <w:sz w:val="21"/>
                <w:szCs w:val="21"/>
              </w:rPr>
            </w:pPr>
          </w:p>
        </w:tc>
        <w:tc>
          <w:tcPr>
            <w:tcW w:w="1467" w:type="dxa"/>
            <w:vMerge w:val="continue"/>
            <w:vAlign w:val="center"/>
          </w:tcPr>
          <w:p>
            <w:pPr>
              <w:widowControl/>
              <w:spacing w:line="240" w:lineRule="exact"/>
              <w:jc w:val="center"/>
              <w:rPr>
                <w:rFonts w:hint="eastAsia" w:ascii="宋体" w:hAnsi="宋体" w:eastAsia="宋体" w:cs="宋体"/>
                <w:color w:val="auto"/>
                <w:sz w:val="21"/>
                <w:szCs w:val="21"/>
              </w:rPr>
            </w:pPr>
          </w:p>
        </w:tc>
        <w:tc>
          <w:tcPr>
            <w:tcW w:w="2196"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腐蚀</w:t>
            </w:r>
          </w:p>
        </w:tc>
        <w:tc>
          <w:tcPr>
            <w:tcW w:w="650"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68"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85"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882"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42</w:t>
            </w:r>
          </w:p>
        </w:tc>
        <w:tc>
          <w:tcPr>
            <w:tcW w:w="2380" w:type="dxa"/>
            <w:vAlign w:val="center"/>
          </w:tcPr>
          <w:p>
            <w:pPr>
              <w:widowControl/>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可能危险，需要注意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3" w:hRule="atLeast"/>
        </w:trPr>
        <w:tc>
          <w:tcPr>
            <w:tcW w:w="552" w:type="dxa"/>
            <w:vMerge w:val="continue"/>
            <w:vAlign w:val="center"/>
          </w:tcPr>
          <w:p>
            <w:pPr>
              <w:spacing w:line="240" w:lineRule="exact"/>
              <w:jc w:val="center"/>
              <w:rPr>
                <w:rFonts w:hint="eastAsia" w:ascii="宋体" w:hAnsi="宋体" w:eastAsia="宋体" w:cs="宋体"/>
                <w:color w:val="auto"/>
                <w:sz w:val="21"/>
                <w:szCs w:val="21"/>
              </w:rPr>
            </w:pPr>
          </w:p>
        </w:tc>
        <w:tc>
          <w:tcPr>
            <w:tcW w:w="1467" w:type="dxa"/>
            <w:vMerge w:val="continue"/>
            <w:vAlign w:val="center"/>
          </w:tcPr>
          <w:p>
            <w:pPr>
              <w:widowControl/>
              <w:spacing w:line="240" w:lineRule="exact"/>
              <w:jc w:val="center"/>
              <w:rPr>
                <w:rFonts w:hint="eastAsia" w:ascii="宋体" w:hAnsi="宋体" w:eastAsia="宋体" w:cs="宋体"/>
                <w:color w:val="auto"/>
                <w:sz w:val="21"/>
                <w:szCs w:val="21"/>
              </w:rPr>
            </w:pPr>
          </w:p>
        </w:tc>
        <w:tc>
          <w:tcPr>
            <w:tcW w:w="2196"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火灾、爆炸</w:t>
            </w:r>
          </w:p>
        </w:tc>
        <w:tc>
          <w:tcPr>
            <w:tcW w:w="650"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0.5</w:t>
            </w:r>
          </w:p>
        </w:tc>
        <w:tc>
          <w:tcPr>
            <w:tcW w:w="668"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85"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882"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21</w:t>
            </w:r>
          </w:p>
        </w:tc>
        <w:tc>
          <w:tcPr>
            <w:tcW w:w="2380"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可能危险，需要注意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8" w:hRule="atLeast"/>
        </w:trPr>
        <w:tc>
          <w:tcPr>
            <w:tcW w:w="552" w:type="dxa"/>
            <w:vMerge w:val="continue"/>
            <w:vAlign w:val="center"/>
          </w:tcPr>
          <w:p>
            <w:pPr>
              <w:widowControl/>
              <w:spacing w:line="240" w:lineRule="exact"/>
              <w:jc w:val="center"/>
              <w:rPr>
                <w:rFonts w:hint="eastAsia" w:ascii="宋体" w:hAnsi="宋体" w:eastAsia="宋体" w:cs="宋体"/>
                <w:color w:val="auto"/>
                <w:sz w:val="21"/>
                <w:szCs w:val="21"/>
              </w:rPr>
            </w:pPr>
          </w:p>
        </w:tc>
        <w:tc>
          <w:tcPr>
            <w:tcW w:w="1467" w:type="dxa"/>
            <w:vMerge w:val="continue"/>
            <w:vAlign w:val="center"/>
          </w:tcPr>
          <w:p>
            <w:pPr>
              <w:widowControl/>
              <w:spacing w:line="240" w:lineRule="exact"/>
              <w:jc w:val="center"/>
              <w:rPr>
                <w:rFonts w:hint="eastAsia" w:ascii="宋体" w:hAnsi="宋体" w:eastAsia="宋体" w:cs="宋体"/>
                <w:color w:val="auto"/>
                <w:sz w:val="21"/>
                <w:szCs w:val="21"/>
              </w:rPr>
            </w:pPr>
          </w:p>
        </w:tc>
        <w:tc>
          <w:tcPr>
            <w:tcW w:w="2196" w:type="dxa"/>
            <w:vAlign w:val="center"/>
          </w:tcPr>
          <w:p>
            <w:pPr>
              <w:widowControl/>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噪声</w:t>
            </w:r>
          </w:p>
        </w:tc>
        <w:tc>
          <w:tcPr>
            <w:tcW w:w="650" w:type="dxa"/>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0.5</w:t>
            </w:r>
          </w:p>
        </w:tc>
        <w:tc>
          <w:tcPr>
            <w:tcW w:w="668" w:type="dxa"/>
            <w:vAlign w:val="center"/>
          </w:tcPr>
          <w:p>
            <w:pPr>
              <w:widowControl/>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85" w:type="dxa"/>
            <w:vAlign w:val="center"/>
          </w:tcPr>
          <w:p>
            <w:pPr>
              <w:widowControl/>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882" w:type="dxa"/>
            <w:vAlign w:val="center"/>
          </w:tcPr>
          <w:p>
            <w:pPr>
              <w:widowControl/>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380" w:type="dxa"/>
            <w:vAlign w:val="center"/>
          </w:tcPr>
          <w:p>
            <w:pPr>
              <w:widowControl/>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可能危险，需要注意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552" w:type="dxa"/>
            <w:vMerge w:val="restart"/>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67" w:type="dxa"/>
            <w:vMerge w:val="restart"/>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115废水车间（氨水储罐）</w:t>
            </w:r>
          </w:p>
        </w:tc>
        <w:tc>
          <w:tcPr>
            <w:tcW w:w="2196"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火灾爆炸</w:t>
            </w:r>
          </w:p>
        </w:tc>
        <w:tc>
          <w:tcPr>
            <w:tcW w:w="65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0.5</w:t>
            </w:r>
          </w:p>
        </w:tc>
        <w:tc>
          <w:tcPr>
            <w:tcW w:w="66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8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882"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45</w:t>
            </w:r>
          </w:p>
        </w:tc>
        <w:tc>
          <w:tcPr>
            <w:tcW w:w="238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一般危险，需要注意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552" w:type="dxa"/>
            <w:vMerge w:val="continue"/>
            <w:vAlign w:val="center"/>
          </w:tcPr>
          <w:p>
            <w:pPr>
              <w:widowControl/>
              <w:jc w:val="center"/>
              <w:rPr>
                <w:rFonts w:hint="eastAsia" w:ascii="宋体" w:hAnsi="宋体" w:eastAsia="宋体" w:cs="宋体"/>
                <w:color w:val="auto"/>
                <w:sz w:val="21"/>
                <w:szCs w:val="21"/>
              </w:rPr>
            </w:pPr>
          </w:p>
        </w:tc>
        <w:tc>
          <w:tcPr>
            <w:tcW w:w="1467" w:type="dxa"/>
            <w:vMerge w:val="continue"/>
            <w:vAlign w:val="center"/>
          </w:tcPr>
          <w:p>
            <w:pPr>
              <w:jc w:val="center"/>
              <w:rPr>
                <w:rFonts w:hint="eastAsia" w:ascii="宋体" w:hAnsi="宋体" w:eastAsia="宋体" w:cs="宋体"/>
                <w:color w:val="auto"/>
                <w:sz w:val="21"/>
                <w:szCs w:val="21"/>
              </w:rPr>
            </w:pPr>
          </w:p>
        </w:tc>
        <w:tc>
          <w:tcPr>
            <w:tcW w:w="2196"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中毒窒息</w:t>
            </w:r>
          </w:p>
        </w:tc>
        <w:tc>
          <w:tcPr>
            <w:tcW w:w="65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0.5</w:t>
            </w:r>
          </w:p>
        </w:tc>
        <w:tc>
          <w:tcPr>
            <w:tcW w:w="66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8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882"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45</w:t>
            </w:r>
          </w:p>
        </w:tc>
        <w:tc>
          <w:tcPr>
            <w:tcW w:w="238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一般危险，需要注意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552" w:type="dxa"/>
            <w:vMerge w:val="continue"/>
            <w:vAlign w:val="center"/>
          </w:tcPr>
          <w:p>
            <w:pPr>
              <w:widowControl/>
              <w:jc w:val="center"/>
              <w:rPr>
                <w:rFonts w:hint="eastAsia" w:ascii="宋体" w:hAnsi="宋体" w:eastAsia="宋体" w:cs="宋体"/>
                <w:color w:val="auto"/>
                <w:sz w:val="21"/>
                <w:szCs w:val="21"/>
              </w:rPr>
            </w:pPr>
          </w:p>
        </w:tc>
        <w:tc>
          <w:tcPr>
            <w:tcW w:w="1467" w:type="dxa"/>
            <w:vMerge w:val="continue"/>
            <w:vAlign w:val="center"/>
          </w:tcPr>
          <w:p>
            <w:pPr>
              <w:jc w:val="center"/>
              <w:rPr>
                <w:rFonts w:hint="eastAsia" w:ascii="宋体" w:hAnsi="宋体" w:eastAsia="宋体" w:cs="宋体"/>
                <w:color w:val="auto"/>
                <w:sz w:val="21"/>
                <w:szCs w:val="21"/>
              </w:rPr>
            </w:pPr>
          </w:p>
        </w:tc>
        <w:tc>
          <w:tcPr>
            <w:tcW w:w="2196"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车辆伤害</w:t>
            </w:r>
          </w:p>
        </w:tc>
        <w:tc>
          <w:tcPr>
            <w:tcW w:w="65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0.2</w:t>
            </w:r>
          </w:p>
        </w:tc>
        <w:tc>
          <w:tcPr>
            <w:tcW w:w="66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58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882"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38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稍有危险，可以接受</w:t>
            </w:r>
          </w:p>
        </w:tc>
      </w:tr>
    </w:tbl>
    <w:p>
      <w:pPr>
        <w:rPr>
          <w:rFonts w:hint="eastAsia" w:ascii="宋体" w:hAnsi="宋体" w:eastAsia="宋体" w:cs="宋体"/>
          <w:color w:val="auto"/>
        </w:rPr>
      </w:pPr>
    </w:p>
    <w:p>
      <w:pPr>
        <w:pStyle w:val="6"/>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Cs w:val="32"/>
        </w:rPr>
      </w:pPr>
      <w:r>
        <w:rPr>
          <w:rFonts w:hint="eastAsia" w:ascii="宋体" w:hAnsi="宋体" w:eastAsia="宋体" w:cs="宋体"/>
          <w:color w:val="auto"/>
        </w:rPr>
        <w:br w:type="page"/>
      </w:r>
      <w:bookmarkEnd w:id="344"/>
      <w:bookmarkEnd w:id="345"/>
      <w:bookmarkStart w:id="346" w:name="_Toc9837"/>
      <w:bookmarkStart w:id="347" w:name="_Toc8390"/>
      <w:bookmarkStart w:id="348" w:name="_Toc30325"/>
      <w:bookmarkStart w:id="349" w:name="_Toc24170"/>
      <w:bookmarkStart w:id="350" w:name="_Toc852"/>
      <w:r>
        <w:rPr>
          <w:rFonts w:hint="eastAsia" w:ascii="宋体" w:hAnsi="宋体" w:eastAsia="宋体" w:cs="宋体"/>
          <w:color w:val="auto"/>
          <w:szCs w:val="32"/>
        </w:rPr>
        <w:t>6 经营单位前置条件符合性评价</w:t>
      </w:r>
      <w:bookmarkEnd w:id="346"/>
      <w:bookmarkEnd w:id="347"/>
      <w:bookmarkEnd w:id="348"/>
      <w:bookmarkEnd w:id="349"/>
      <w:bookmarkEnd w:id="350"/>
    </w:p>
    <w:p>
      <w:pPr>
        <w:pStyle w:val="7"/>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28"/>
          <w:szCs w:val="28"/>
        </w:rPr>
      </w:pPr>
      <w:bookmarkStart w:id="351" w:name="_Toc4748"/>
      <w:bookmarkStart w:id="352" w:name="_Toc10417"/>
      <w:r>
        <w:rPr>
          <w:rFonts w:hint="eastAsia" w:ascii="宋体" w:hAnsi="宋体" w:eastAsia="宋体" w:cs="宋体"/>
          <w:color w:val="auto"/>
        </w:rPr>
        <w:t>6</w:t>
      </w:r>
      <w:r>
        <w:rPr>
          <w:rFonts w:hint="eastAsia" w:ascii="宋体" w:hAnsi="宋体" w:eastAsia="宋体" w:cs="宋体"/>
          <w:color w:val="auto"/>
        </w:rPr>
        <w:t>.</w:t>
      </w:r>
      <w:r>
        <w:rPr>
          <w:rFonts w:hint="eastAsia" w:ascii="宋体" w:hAnsi="宋体" w:eastAsia="宋体" w:cs="宋体"/>
          <w:color w:val="auto"/>
        </w:rPr>
        <w:t>1</w:t>
      </w:r>
      <w:r>
        <w:rPr>
          <w:rFonts w:hint="eastAsia" w:ascii="宋体" w:hAnsi="宋体" w:eastAsia="宋体" w:cs="宋体"/>
          <w:color w:val="auto"/>
        </w:rPr>
        <w:t>危险化学品经营单位安全评价现场检查表</w:t>
      </w:r>
      <w:bookmarkEnd w:id="351"/>
      <w:bookmarkEnd w:id="352"/>
    </w:p>
    <w:p>
      <w:pPr>
        <w:pageBreakBefore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危险化学品经营单位安全检查表见表</w:t>
      </w:r>
      <w:r>
        <w:rPr>
          <w:rFonts w:hint="eastAsia" w:ascii="宋体" w:hAnsi="宋体" w:eastAsia="宋体" w:cs="宋体"/>
          <w:color w:val="auto"/>
          <w:szCs w:val="28"/>
        </w:rPr>
        <w:t>6</w:t>
      </w:r>
      <w:r>
        <w:rPr>
          <w:rFonts w:hint="eastAsia" w:ascii="宋体" w:hAnsi="宋体" w:eastAsia="宋体" w:cs="宋体"/>
          <w:color w:val="auto"/>
          <w:szCs w:val="28"/>
        </w:rPr>
        <w:t>-1</w:t>
      </w:r>
    </w:p>
    <w:p>
      <w:pPr>
        <w:pageBreakBefore w:val="0"/>
        <w:kinsoku/>
        <w:wordWrap/>
        <w:overflowPunct/>
        <w:topLinePunct w:val="0"/>
        <w:autoSpaceDE/>
        <w:autoSpaceDN/>
        <w:bidi w:val="0"/>
        <w:adjustRightInd/>
        <w:snapToGrid/>
        <w:spacing w:line="600" w:lineRule="exact"/>
        <w:ind w:firstLine="600"/>
        <w:jc w:val="center"/>
        <w:textAlignment w:val="auto"/>
        <w:rPr>
          <w:rFonts w:hint="eastAsia" w:ascii="宋体" w:hAnsi="宋体" w:eastAsia="宋体" w:cs="宋体"/>
          <w:b/>
          <w:bCs/>
          <w:color w:val="auto"/>
        </w:rPr>
      </w:pPr>
      <w:r>
        <w:rPr>
          <w:rFonts w:hint="eastAsia" w:ascii="宋体" w:hAnsi="宋体" w:eastAsia="宋体" w:cs="宋体"/>
          <w:b/>
          <w:bCs/>
          <w:color w:val="auto"/>
        </w:rPr>
        <w:t>表</w:t>
      </w:r>
      <w:r>
        <w:rPr>
          <w:rFonts w:hint="eastAsia" w:ascii="宋体" w:hAnsi="宋体" w:eastAsia="宋体" w:cs="宋体"/>
          <w:color w:val="auto"/>
        </w:rPr>
        <w:t>6</w:t>
      </w:r>
      <w:r>
        <w:rPr>
          <w:rFonts w:hint="eastAsia" w:ascii="宋体" w:hAnsi="宋体" w:eastAsia="宋体" w:cs="宋体"/>
          <w:color w:val="auto"/>
        </w:rPr>
        <w:t xml:space="preserve">-1  </w:t>
      </w:r>
      <w:r>
        <w:rPr>
          <w:rFonts w:hint="eastAsia" w:ascii="宋体" w:hAnsi="宋体" w:eastAsia="宋体" w:cs="宋体"/>
          <w:b/>
          <w:bCs/>
          <w:color w:val="auto"/>
        </w:rPr>
        <w:t>危险化学品经营单位安全评价现场检查表</w:t>
      </w:r>
    </w:p>
    <w:tbl>
      <w:tblPr>
        <w:tblStyle w:val="2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5"/>
        <w:gridCol w:w="5356"/>
        <w:gridCol w:w="566"/>
        <w:gridCol w:w="1983"/>
        <w:gridCol w:w="6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blHeader/>
        </w:trPr>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项目</w:t>
            </w: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检</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1"/>
                <w:szCs w:val="21"/>
              </w:rPr>
              <w:t>查</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1"/>
                <w:szCs w:val="21"/>
              </w:rPr>
              <w:t>内</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1"/>
                <w:szCs w:val="21"/>
              </w:rPr>
              <w:t>容</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ind w:left="-108" w:right="-108"/>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类别</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检查记录</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5" w:type="dxa"/>
            <w:vMerge w:val="restart"/>
            <w:tcBorders>
              <w:top w:val="single" w:color="auto" w:sz="4" w:space="0"/>
              <w:left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一</w:t>
            </w:r>
          </w:p>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证</w:t>
            </w:r>
          </w:p>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照</w:t>
            </w:r>
          </w:p>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文</w:t>
            </w:r>
          </w:p>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书</w:t>
            </w: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rPr>
              <w:t>有营业执照或企业名称预先核准通知书。</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A</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有营业执照</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rPr>
              <w:t>仓储和办公场所产权证明或租赁合同。</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A</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w:t>
            </w:r>
            <w:r>
              <w:rPr>
                <w:rFonts w:hint="eastAsia" w:ascii="宋体" w:hAnsi="宋体" w:eastAsia="宋体" w:cs="宋体"/>
                <w:color w:val="auto"/>
                <w:sz w:val="21"/>
                <w:szCs w:val="21"/>
              </w:rPr>
              <w:t>租赁合同。</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5" w:type="dxa"/>
            <w:vMerge w:val="continue"/>
            <w:tcBorders>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3.</w:t>
            </w:r>
            <w:r>
              <w:rPr>
                <w:rFonts w:hint="eastAsia" w:ascii="宋体" w:hAnsi="宋体" w:eastAsia="宋体" w:cs="宋体"/>
                <w:color w:val="auto"/>
                <w:sz w:val="21"/>
                <w:szCs w:val="21"/>
              </w:rPr>
              <w:t>公安消防部门对储存场所出具的消防验收合格文件。</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A</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有消防验收意见书</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4" w:hRule="atLeast"/>
        </w:trPr>
        <w:tc>
          <w:tcPr>
            <w:tcW w:w="70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二</w:t>
            </w:r>
            <w:r>
              <w:rPr>
                <w:rFonts w:hint="eastAsia" w:ascii="宋体" w:hAnsi="宋体" w:eastAsia="宋体" w:cs="宋体"/>
                <w:color w:val="auto"/>
                <w:sz w:val="21"/>
                <w:szCs w:val="21"/>
              </w:rPr>
              <w:t>、</w:t>
            </w:r>
          </w:p>
          <w:p>
            <w:pPr>
              <w:pStyle w:val="13"/>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安</w:t>
            </w:r>
          </w:p>
          <w:p>
            <w:pPr>
              <w:pStyle w:val="13"/>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全</w:t>
            </w:r>
          </w:p>
          <w:p>
            <w:pPr>
              <w:pStyle w:val="13"/>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管</w:t>
            </w:r>
          </w:p>
          <w:p>
            <w:pPr>
              <w:pStyle w:val="13"/>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理</w:t>
            </w:r>
          </w:p>
          <w:p>
            <w:pPr>
              <w:pStyle w:val="13"/>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制</w:t>
            </w:r>
          </w:p>
          <w:p>
            <w:pPr>
              <w:pStyle w:val="13"/>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度</w:t>
            </w: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1、有各级各类人员的安全管理责任制。</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bookmarkStart w:id="353" w:name="_Toc139855872"/>
            <w:bookmarkStart w:id="354" w:name="_Toc139854451"/>
            <w:bookmarkStart w:id="355" w:name="_Toc139854405"/>
            <w:bookmarkStart w:id="356" w:name="_Toc139854524"/>
            <w:bookmarkStart w:id="357" w:name="_Toc139855962"/>
            <w:r>
              <w:rPr>
                <w:rFonts w:hint="eastAsia" w:ascii="宋体" w:hAnsi="宋体" w:eastAsia="宋体" w:cs="宋体"/>
                <w:color w:val="auto"/>
                <w:sz w:val="21"/>
                <w:szCs w:val="21"/>
              </w:rPr>
              <w:t>A</w:t>
            </w:r>
            <w:bookmarkEnd w:id="353"/>
            <w:bookmarkEnd w:id="354"/>
            <w:bookmarkEnd w:id="355"/>
            <w:bookmarkEnd w:id="356"/>
            <w:bookmarkEnd w:id="35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有安全管理责任制</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2、有健全的安全管理（包括教育培训、防火、动火、用火、检修、废弃物处理）制度，经营剧毒化学品的需有剧毒化学品的管理内容（包括剧毒物品的“双人双锁”制等）。</w:t>
            </w:r>
            <w:r>
              <w:rPr>
                <w:rFonts w:hint="eastAsia" w:ascii="宋体" w:hAnsi="宋体" w:eastAsia="宋体" w:cs="宋体"/>
                <w:color w:val="auto"/>
                <w:sz w:val="21"/>
                <w:szCs w:val="21"/>
              </w:rPr>
              <w:t xml:space="preserve">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bookmarkStart w:id="358" w:name="_Toc139855873"/>
            <w:bookmarkStart w:id="359" w:name="_Toc139854452"/>
            <w:bookmarkStart w:id="360" w:name="_Toc139855963"/>
            <w:bookmarkStart w:id="361" w:name="_Toc139854525"/>
            <w:bookmarkStart w:id="362" w:name="_Toc139854406"/>
            <w:r>
              <w:rPr>
                <w:rFonts w:hint="eastAsia" w:ascii="宋体" w:hAnsi="宋体" w:eastAsia="宋体" w:cs="宋体"/>
                <w:color w:val="auto"/>
                <w:sz w:val="21"/>
                <w:szCs w:val="21"/>
              </w:rPr>
              <w:t>A</w:t>
            </w:r>
            <w:bookmarkEnd w:id="358"/>
            <w:bookmarkEnd w:id="359"/>
            <w:bookmarkEnd w:id="360"/>
            <w:bookmarkEnd w:id="361"/>
            <w:bookmarkEnd w:id="36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有安全管理制度</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3．有完善的经营、销售（包括采购、出入库登记、验收、发放、出售等）管理制度，经营剧毒化学品的需有剧毒化学品的管理内容（包括销售剧毒化学品的登记和查验准购证等）。</w:t>
            </w:r>
            <w:r>
              <w:rPr>
                <w:rFonts w:hint="eastAsia" w:ascii="宋体" w:hAnsi="宋体" w:eastAsia="宋体" w:cs="宋体"/>
                <w:color w:val="auto"/>
                <w:sz w:val="21"/>
                <w:szCs w:val="21"/>
              </w:rPr>
              <w:t xml:space="preserve">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A</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有完善的经营、销售管理制度</w:t>
            </w:r>
            <w:r>
              <w:rPr>
                <w:rFonts w:hint="eastAsia" w:ascii="宋体" w:hAnsi="宋体" w:eastAsia="宋体" w:cs="宋体"/>
                <w:color w:val="auto"/>
                <w:sz w:val="21"/>
                <w:szCs w:val="21"/>
                <w:lang w:eastAsia="zh-CN"/>
              </w:rPr>
              <w:t>，不涉及剧毒化学品</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4．建立安全检查（包括巡回检查、夜间和节假日值班）制度。</w:t>
            </w:r>
            <w:r>
              <w:rPr>
                <w:rFonts w:hint="eastAsia" w:ascii="宋体" w:hAnsi="宋体" w:eastAsia="宋体" w:cs="宋体"/>
                <w:color w:val="auto"/>
                <w:sz w:val="21"/>
                <w:szCs w:val="21"/>
              </w:rPr>
              <w:t xml:space="preserve">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建立制度</w:t>
            </w:r>
          </w:p>
        </w:tc>
        <w:tc>
          <w:tcPr>
            <w:tcW w:w="676"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5"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5．有符合国家标准《易燃易爆性商品储藏养护技术条件》（GB17914-1999）、《腐蚀性商品储藏养护技术条件》（GB17915-1999）、《毒害性商品储藏养护技术条件》（GB17916-1999）的仓储物品储藏养护制度。</w:t>
            </w:r>
            <w:r>
              <w:rPr>
                <w:rFonts w:hint="eastAsia" w:ascii="宋体" w:hAnsi="宋体" w:eastAsia="宋体" w:cs="宋体"/>
                <w:color w:val="auto"/>
                <w:sz w:val="21"/>
                <w:szCs w:val="21"/>
              </w:rPr>
              <w:t xml:space="preserve">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有符合国家标</w:t>
            </w:r>
            <w:r>
              <w:rPr>
                <w:rFonts w:hint="eastAsia" w:ascii="宋体" w:hAnsi="宋体" w:eastAsia="宋体" w:cs="宋体"/>
                <w:color w:val="auto"/>
                <w:sz w:val="21"/>
                <w:szCs w:val="21"/>
              </w:rPr>
              <w:t>准的</w:t>
            </w:r>
            <w:r>
              <w:rPr>
                <w:rFonts w:hint="eastAsia" w:ascii="宋体" w:hAnsi="宋体" w:eastAsia="宋体" w:cs="宋体"/>
                <w:color w:val="auto"/>
                <w:sz w:val="21"/>
                <w:szCs w:val="21"/>
              </w:rPr>
              <w:t>养护制度</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6．有各岗位（包括装卸、搬运、劳动保护用品的佩戴和防火花工具使用等）安全操作规程。</w:t>
            </w:r>
            <w:r>
              <w:rPr>
                <w:rFonts w:hint="eastAsia" w:ascii="宋体" w:hAnsi="宋体" w:eastAsia="宋体" w:cs="宋体"/>
                <w:color w:val="auto"/>
                <w:sz w:val="21"/>
                <w:szCs w:val="21"/>
              </w:rPr>
              <w:t xml:space="preserve">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A</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有安全操作规程</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7．有事故应急救援措施；构成重大危险源的，建立事故应急救援预案，内容一般包括：应急处理组织与职责、事故类型和原因、事故防范措施、事故应急处理原则和程序、事故报警和报告、工程抢险和医疗救护、演练等。</w:t>
            </w:r>
            <w:r>
              <w:rPr>
                <w:rFonts w:hint="eastAsia" w:ascii="宋体" w:hAnsi="宋体" w:eastAsia="宋体" w:cs="宋体"/>
                <w:color w:val="auto"/>
                <w:sz w:val="21"/>
                <w:szCs w:val="21"/>
              </w:rPr>
              <w:t xml:space="preserve">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有事故应急预案</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三</w:t>
            </w:r>
            <w:r>
              <w:rPr>
                <w:rFonts w:hint="eastAsia" w:ascii="宋体" w:hAnsi="宋体" w:eastAsia="宋体" w:cs="宋体"/>
                <w:color w:val="auto"/>
                <w:sz w:val="21"/>
                <w:szCs w:val="21"/>
              </w:rPr>
              <w:t>、</w:t>
            </w:r>
          </w:p>
          <w:p>
            <w:pPr>
              <w:pStyle w:val="13"/>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安</w:t>
            </w:r>
          </w:p>
          <w:p>
            <w:pPr>
              <w:pStyle w:val="13"/>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全</w:t>
            </w:r>
          </w:p>
          <w:p>
            <w:pPr>
              <w:pStyle w:val="13"/>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管</w:t>
            </w:r>
          </w:p>
          <w:p>
            <w:pPr>
              <w:pStyle w:val="13"/>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理</w:t>
            </w:r>
          </w:p>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组</w:t>
            </w:r>
          </w:p>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织</w:t>
            </w: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1．有安全管理机构或者配备专职安全管理人员；从业人员在10人以下的，有专职或兼职安全管理人员；个体工商户可委托具有国家规定资格的人员提供安全管理服务。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bookmarkStart w:id="363" w:name="_Toc139854407"/>
            <w:bookmarkStart w:id="364" w:name="_Toc139854453"/>
            <w:bookmarkStart w:id="365" w:name="_Toc139855874"/>
            <w:bookmarkStart w:id="366" w:name="_Toc139854526"/>
            <w:bookmarkStart w:id="367" w:name="_Toc139855964"/>
            <w:r>
              <w:rPr>
                <w:rFonts w:hint="eastAsia" w:ascii="宋体" w:hAnsi="宋体" w:eastAsia="宋体" w:cs="宋体"/>
                <w:color w:val="auto"/>
                <w:sz w:val="21"/>
                <w:szCs w:val="21"/>
              </w:rPr>
              <w:t>A</w:t>
            </w:r>
            <w:bookmarkEnd w:id="363"/>
            <w:bookmarkEnd w:id="364"/>
            <w:bookmarkEnd w:id="365"/>
            <w:bookmarkEnd w:id="366"/>
            <w:bookmarkEnd w:id="367"/>
          </w:p>
        </w:tc>
        <w:tc>
          <w:tcPr>
            <w:tcW w:w="1983"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公司有安全管理人员</w:t>
            </w:r>
          </w:p>
        </w:tc>
        <w:tc>
          <w:tcPr>
            <w:tcW w:w="676"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2．大中型仓库应有专职或义务消防队伍，制定灭火预案并经常进行消防演练。</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bookmarkStart w:id="368" w:name="_Toc139854454"/>
            <w:bookmarkStart w:id="369" w:name="_Toc139855965"/>
            <w:bookmarkStart w:id="370" w:name="_Toc139854527"/>
            <w:bookmarkStart w:id="371" w:name="_Toc139855875"/>
            <w:bookmarkStart w:id="372" w:name="_Toc139854408"/>
            <w:r>
              <w:rPr>
                <w:rFonts w:hint="eastAsia" w:ascii="宋体" w:hAnsi="宋体" w:eastAsia="宋体" w:cs="宋体"/>
                <w:color w:val="auto"/>
                <w:sz w:val="21"/>
                <w:szCs w:val="21"/>
              </w:rPr>
              <w:t>B</w:t>
            </w:r>
            <w:bookmarkEnd w:id="368"/>
            <w:bookmarkEnd w:id="369"/>
            <w:bookmarkEnd w:id="370"/>
            <w:bookmarkEnd w:id="371"/>
            <w:bookmarkEnd w:id="37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3．</w:t>
            </w:r>
            <w:r>
              <w:rPr>
                <w:rFonts w:hint="eastAsia" w:ascii="宋体" w:hAnsi="宋体" w:eastAsia="宋体" w:cs="宋体"/>
                <w:color w:val="auto"/>
                <w:sz w:val="21"/>
                <w:szCs w:val="21"/>
                <w:lang w:eastAsia="zh-CN"/>
              </w:rPr>
              <w:t>氨水回收装置</w:t>
            </w:r>
            <w:r>
              <w:rPr>
                <w:rFonts w:hint="eastAsia" w:ascii="宋体" w:hAnsi="宋体" w:eastAsia="宋体" w:cs="宋体"/>
                <w:color w:val="auto"/>
                <w:sz w:val="21"/>
                <w:szCs w:val="21"/>
              </w:rPr>
              <w:t>应确定一名主要管理人员为安全负责人，全面负责</w:t>
            </w:r>
            <w:r>
              <w:rPr>
                <w:rFonts w:hint="eastAsia" w:ascii="宋体" w:hAnsi="宋体" w:eastAsia="宋体" w:cs="宋体"/>
                <w:color w:val="auto"/>
                <w:sz w:val="21"/>
                <w:szCs w:val="21"/>
                <w:lang w:eastAsia="zh-CN"/>
              </w:rPr>
              <w:t>氨水回收装置</w:t>
            </w:r>
            <w:r>
              <w:rPr>
                <w:rFonts w:hint="eastAsia" w:ascii="宋体" w:hAnsi="宋体" w:eastAsia="宋体" w:cs="宋体"/>
                <w:color w:val="auto"/>
                <w:sz w:val="21"/>
                <w:szCs w:val="21"/>
              </w:rPr>
              <w:t>安全管理工作。</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bookmarkStart w:id="373" w:name="_Toc139854528"/>
            <w:bookmarkStart w:id="374" w:name="_Toc139855966"/>
            <w:bookmarkStart w:id="375" w:name="_Toc139855876"/>
            <w:bookmarkStart w:id="376" w:name="_Toc139854409"/>
            <w:bookmarkStart w:id="377" w:name="_Toc139854455"/>
            <w:r>
              <w:rPr>
                <w:rFonts w:hint="eastAsia" w:ascii="宋体" w:hAnsi="宋体" w:eastAsia="宋体" w:cs="宋体"/>
                <w:color w:val="auto"/>
                <w:sz w:val="21"/>
                <w:szCs w:val="21"/>
              </w:rPr>
              <w:t>B</w:t>
            </w:r>
            <w:bookmarkEnd w:id="373"/>
            <w:bookmarkEnd w:id="374"/>
            <w:bookmarkEnd w:id="375"/>
            <w:bookmarkEnd w:id="376"/>
            <w:bookmarkEnd w:id="37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有安全负责人</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ind w:right="-67" w:rightChars="-24"/>
              <w:jc w:val="center"/>
              <w:rPr>
                <w:rFonts w:hint="eastAsia" w:ascii="宋体" w:hAnsi="宋体" w:eastAsia="宋体" w:cs="宋体"/>
                <w:color w:val="auto"/>
                <w:sz w:val="21"/>
                <w:szCs w:val="21"/>
              </w:rPr>
            </w:pPr>
            <w:r>
              <w:rPr>
                <w:rFonts w:hint="eastAsia" w:ascii="宋体" w:hAnsi="宋体" w:eastAsia="宋体" w:cs="宋体"/>
                <w:color w:val="auto"/>
                <w:sz w:val="21"/>
                <w:szCs w:val="21"/>
              </w:rPr>
              <w:t>四</w:t>
            </w:r>
            <w:r>
              <w:rPr>
                <w:rFonts w:hint="eastAsia" w:ascii="宋体" w:hAnsi="宋体" w:eastAsia="宋体" w:cs="宋体"/>
                <w:color w:val="auto"/>
                <w:sz w:val="21"/>
                <w:szCs w:val="21"/>
              </w:rPr>
              <w:t>、</w:t>
            </w:r>
          </w:p>
          <w:p>
            <w:pPr>
              <w:spacing w:line="240" w:lineRule="exact"/>
              <w:ind w:right="-67" w:rightChars="-24"/>
              <w:jc w:val="center"/>
              <w:rPr>
                <w:rFonts w:hint="eastAsia" w:ascii="宋体" w:hAnsi="宋体" w:eastAsia="宋体" w:cs="宋体"/>
                <w:color w:val="auto"/>
                <w:sz w:val="21"/>
                <w:szCs w:val="21"/>
              </w:rPr>
            </w:pPr>
            <w:r>
              <w:rPr>
                <w:rFonts w:hint="eastAsia" w:ascii="宋体" w:hAnsi="宋体" w:eastAsia="宋体" w:cs="宋体"/>
                <w:color w:val="auto"/>
                <w:sz w:val="21"/>
                <w:szCs w:val="21"/>
              </w:rPr>
              <w:t>从</w:t>
            </w:r>
          </w:p>
          <w:p>
            <w:pPr>
              <w:spacing w:line="240" w:lineRule="exact"/>
              <w:ind w:right="-67" w:rightChars="-24"/>
              <w:jc w:val="center"/>
              <w:rPr>
                <w:rFonts w:hint="eastAsia" w:ascii="宋体" w:hAnsi="宋体" w:eastAsia="宋体" w:cs="宋体"/>
                <w:color w:val="auto"/>
                <w:sz w:val="21"/>
                <w:szCs w:val="21"/>
              </w:rPr>
            </w:pPr>
            <w:r>
              <w:rPr>
                <w:rFonts w:hint="eastAsia" w:ascii="宋体" w:hAnsi="宋体" w:eastAsia="宋体" w:cs="宋体"/>
                <w:color w:val="auto"/>
                <w:sz w:val="21"/>
                <w:szCs w:val="21"/>
              </w:rPr>
              <w:t>业</w:t>
            </w:r>
          </w:p>
          <w:p>
            <w:pPr>
              <w:spacing w:line="240" w:lineRule="exact"/>
              <w:ind w:right="-67" w:rightChars="-24"/>
              <w:jc w:val="center"/>
              <w:rPr>
                <w:rFonts w:hint="eastAsia" w:ascii="宋体" w:hAnsi="宋体" w:eastAsia="宋体" w:cs="宋体"/>
                <w:color w:val="auto"/>
                <w:sz w:val="21"/>
                <w:szCs w:val="21"/>
              </w:rPr>
            </w:pPr>
            <w:r>
              <w:rPr>
                <w:rFonts w:hint="eastAsia" w:ascii="宋体" w:hAnsi="宋体" w:eastAsia="宋体" w:cs="宋体"/>
                <w:color w:val="auto"/>
                <w:sz w:val="21"/>
                <w:szCs w:val="21"/>
              </w:rPr>
              <w:t>人</w:t>
            </w:r>
          </w:p>
          <w:p>
            <w:pPr>
              <w:spacing w:line="240" w:lineRule="exact"/>
              <w:ind w:right="-67" w:rightChars="-24"/>
              <w:jc w:val="center"/>
              <w:rPr>
                <w:rFonts w:hint="eastAsia" w:ascii="宋体" w:hAnsi="宋体" w:eastAsia="宋体" w:cs="宋体"/>
                <w:color w:val="auto"/>
                <w:sz w:val="21"/>
                <w:szCs w:val="21"/>
              </w:rPr>
            </w:pPr>
            <w:r>
              <w:rPr>
                <w:rFonts w:hint="eastAsia" w:ascii="宋体" w:hAnsi="宋体" w:eastAsia="宋体" w:cs="宋体"/>
                <w:color w:val="auto"/>
                <w:sz w:val="21"/>
                <w:szCs w:val="21"/>
              </w:rPr>
              <w:t>员</w:t>
            </w:r>
          </w:p>
          <w:p>
            <w:pPr>
              <w:spacing w:line="240" w:lineRule="exact"/>
              <w:ind w:right="-67" w:rightChars="-24"/>
              <w:jc w:val="center"/>
              <w:rPr>
                <w:rFonts w:hint="eastAsia" w:ascii="宋体" w:hAnsi="宋体" w:eastAsia="宋体" w:cs="宋体"/>
                <w:color w:val="auto"/>
                <w:sz w:val="21"/>
                <w:szCs w:val="21"/>
              </w:rPr>
            </w:pPr>
            <w:r>
              <w:rPr>
                <w:rFonts w:hint="eastAsia" w:ascii="宋体" w:hAnsi="宋体" w:eastAsia="宋体" w:cs="宋体"/>
                <w:color w:val="auto"/>
                <w:sz w:val="21"/>
                <w:szCs w:val="21"/>
              </w:rPr>
              <w:t>要</w:t>
            </w:r>
          </w:p>
          <w:p>
            <w:pPr>
              <w:spacing w:line="240" w:lineRule="exact"/>
              <w:ind w:right="-67" w:rightChars="-24"/>
              <w:jc w:val="center"/>
              <w:rPr>
                <w:rFonts w:hint="eastAsia" w:ascii="宋体" w:hAnsi="宋体" w:eastAsia="宋体" w:cs="宋体"/>
                <w:color w:val="auto"/>
                <w:sz w:val="21"/>
                <w:szCs w:val="21"/>
              </w:rPr>
            </w:pPr>
            <w:r>
              <w:rPr>
                <w:rFonts w:hint="eastAsia" w:ascii="宋体" w:hAnsi="宋体" w:eastAsia="宋体" w:cs="宋体"/>
                <w:color w:val="auto"/>
                <w:sz w:val="21"/>
                <w:szCs w:val="21"/>
              </w:rPr>
              <w:t>求</w:t>
            </w: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1．单位主要负责人和安全管理人员经市级以上地方人民政府安全生产监督管理部门考核合格，取得上岗资格。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bookmarkStart w:id="378" w:name="_Toc139855967"/>
            <w:bookmarkStart w:id="379" w:name="_Toc139855877"/>
            <w:bookmarkStart w:id="380" w:name="_Toc139854410"/>
            <w:bookmarkStart w:id="381" w:name="_Toc139854456"/>
            <w:bookmarkStart w:id="382" w:name="_Toc139854529"/>
            <w:r>
              <w:rPr>
                <w:rFonts w:hint="eastAsia" w:ascii="宋体" w:hAnsi="宋体" w:eastAsia="宋体" w:cs="宋体"/>
                <w:color w:val="auto"/>
                <w:sz w:val="21"/>
                <w:szCs w:val="21"/>
              </w:rPr>
              <w:t>A</w:t>
            </w:r>
            <w:bookmarkEnd w:id="378"/>
            <w:bookmarkEnd w:id="379"/>
            <w:bookmarkEnd w:id="380"/>
            <w:bookmarkEnd w:id="381"/>
            <w:bookmarkEnd w:id="38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主要负责人</w:t>
            </w:r>
            <w:r>
              <w:rPr>
                <w:rFonts w:hint="eastAsia" w:ascii="宋体" w:hAnsi="宋体" w:eastAsia="宋体" w:cs="宋体"/>
                <w:color w:val="auto"/>
                <w:sz w:val="21"/>
                <w:szCs w:val="21"/>
              </w:rPr>
              <w:t>、</w:t>
            </w:r>
            <w:r>
              <w:rPr>
                <w:rFonts w:hint="eastAsia" w:ascii="宋体" w:hAnsi="宋体" w:eastAsia="宋体" w:cs="宋体"/>
                <w:color w:val="auto"/>
                <w:sz w:val="21"/>
                <w:szCs w:val="21"/>
              </w:rPr>
              <w:t>安全管理人员</w:t>
            </w:r>
            <w:r>
              <w:rPr>
                <w:rFonts w:hint="eastAsia" w:ascii="宋体" w:hAnsi="宋体" w:eastAsia="宋体" w:cs="宋体"/>
                <w:color w:val="auto"/>
                <w:sz w:val="21"/>
                <w:szCs w:val="21"/>
              </w:rPr>
              <w:t>已取证</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2．其他从业人员经本单位专业培训或委托专业培训，并经考核合格，取得上岗资格。</w:t>
            </w:r>
            <w:r>
              <w:rPr>
                <w:rFonts w:hint="eastAsia" w:ascii="宋体" w:hAnsi="宋体" w:eastAsia="宋体" w:cs="宋体"/>
                <w:color w:val="auto"/>
                <w:sz w:val="21"/>
                <w:szCs w:val="21"/>
              </w:rPr>
              <w:t xml:space="preserve">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培训上岗</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8"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3．特种作业人员经有关监督管理部门考核合格，取得上岗资格。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A</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电工等取证上岗</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12" w:hRule="atLeast"/>
        </w:trPr>
        <w:tc>
          <w:tcPr>
            <w:tcW w:w="705" w:type="dxa"/>
            <w:vMerge w:val="restart"/>
            <w:tcBorders>
              <w:top w:val="single" w:color="auto" w:sz="4" w:space="0"/>
              <w:left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五、</w:t>
            </w:r>
          </w:p>
          <w:p>
            <w:pPr>
              <w:spacing w:line="240" w:lineRule="exact"/>
              <w:ind w:right="-108"/>
              <w:jc w:val="center"/>
              <w:rPr>
                <w:rFonts w:hint="eastAsia" w:ascii="宋体" w:hAnsi="宋体" w:eastAsia="宋体" w:cs="宋体"/>
                <w:color w:val="auto"/>
                <w:sz w:val="21"/>
                <w:szCs w:val="21"/>
              </w:rPr>
            </w:pPr>
            <w:r>
              <w:rPr>
                <w:rFonts w:hint="eastAsia" w:ascii="宋体" w:hAnsi="宋体" w:eastAsia="宋体" w:cs="宋体"/>
                <w:color w:val="auto"/>
                <w:sz w:val="21"/>
                <w:szCs w:val="21"/>
              </w:rPr>
              <w:t>仓</w:t>
            </w:r>
          </w:p>
          <w:p>
            <w:pPr>
              <w:spacing w:line="240" w:lineRule="exact"/>
              <w:ind w:right="-108"/>
              <w:jc w:val="center"/>
              <w:rPr>
                <w:rFonts w:hint="eastAsia" w:ascii="宋体" w:hAnsi="宋体" w:eastAsia="宋体" w:cs="宋体"/>
                <w:color w:val="auto"/>
                <w:sz w:val="21"/>
                <w:szCs w:val="21"/>
              </w:rPr>
            </w:pPr>
            <w:r>
              <w:rPr>
                <w:rFonts w:hint="eastAsia" w:ascii="宋体" w:hAnsi="宋体" w:eastAsia="宋体" w:cs="宋体"/>
                <w:color w:val="auto"/>
                <w:sz w:val="21"/>
                <w:szCs w:val="21"/>
              </w:rPr>
              <w:t>储</w:t>
            </w:r>
          </w:p>
          <w:p>
            <w:pPr>
              <w:spacing w:line="240" w:lineRule="exact"/>
              <w:ind w:right="-108"/>
              <w:jc w:val="center"/>
              <w:rPr>
                <w:rFonts w:hint="eastAsia" w:ascii="宋体" w:hAnsi="宋体" w:eastAsia="宋体" w:cs="宋体"/>
                <w:color w:val="auto"/>
                <w:sz w:val="21"/>
                <w:szCs w:val="21"/>
              </w:rPr>
            </w:pPr>
            <w:r>
              <w:rPr>
                <w:rFonts w:hint="eastAsia" w:ascii="宋体" w:hAnsi="宋体" w:eastAsia="宋体" w:cs="宋体"/>
                <w:color w:val="auto"/>
                <w:sz w:val="21"/>
                <w:szCs w:val="21"/>
              </w:rPr>
              <w:t>场</w:t>
            </w:r>
          </w:p>
          <w:p>
            <w:pPr>
              <w:spacing w:line="240" w:lineRule="exact"/>
              <w:ind w:right="-108"/>
              <w:jc w:val="center"/>
              <w:rPr>
                <w:rFonts w:hint="eastAsia" w:ascii="宋体" w:hAnsi="宋体" w:eastAsia="宋体" w:cs="宋体"/>
                <w:color w:val="auto"/>
                <w:sz w:val="21"/>
                <w:szCs w:val="21"/>
              </w:rPr>
            </w:pPr>
            <w:r>
              <w:rPr>
                <w:rFonts w:hint="eastAsia" w:ascii="宋体" w:hAnsi="宋体" w:eastAsia="宋体" w:cs="宋体"/>
                <w:color w:val="auto"/>
                <w:sz w:val="21"/>
                <w:szCs w:val="21"/>
              </w:rPr>
              <w:t>所</w:t>
            </w:r>
          </w:p>
          <w:p>
            <w:pPr>
              <w:spacing w:line="240" w:lineRule="exact"/>
              <w:ind w:right="-108"/>
              <w:jc w:val="center"/>
              <w:rPr>
                <w:rFonts w:hint="eastAsia" w:ascii="宋体" w:hAnsi="宋体" w:eastAsia="宋体" w:cs="宋体"/>
                <w:color w:val="auto"/>
                <w:sz w:val="21"/>
                <w:szCs w:val="21"/>
              </w:rPr>
            </w:pPr>
            <w:r>
              <w:rPr>
                <w:rFonts w:hint="eastAsia" w:ascii="宋体" w:hAnsi="宋体" w:eastAsia="宋体" w:cs="宋体"/>
                <w:color w:val="auto"/>
                <w:sz w:val="21"/>
                <w:szCs w:val="21"/>
              </w:rPr>
              <w:t>要</w:t>
            </w:r>
          </w:p>
          <w:p>
            <w:pPr>
              <w:spacing w:line="240" w:lineRule="exact"/>
              <w:ind w:right="-108"/>
              <w:jc w:val="center"/>
              <w:rPr>
                <w:rFonts w:hint="eastAsia" w:ascii="宋体" w:hAnsi="宋体" w:eastAsia="宋体" w:cs="宋体"/>
                <w:color w:val="auto"/>
                <w:sz w:val="21"/>
                <w:szCs w:val="21"/>
              </w:rPr>
            </w:pPr>
            <w:r>
              <w:rPr>
                <w:rFonts w:hint="eastAsia" w:ascii="宋体" w:hAnsi="宋体" w:eastAsia="宋体" w:cs="宋体"/>
                <w:color w:val="auto"/>
                <w:sz w:val="21"/>
                <w:szCs w:val="21"/>
              </w:rPr>
              <w:t>求</w:t>
            </w: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1．从事批发业务的单位应有公安消防部门验收合格的专用仓库（自有或租用）。所经营的危险化学品不得存放在业务经营场所。</w:t>
            </w:r>
          </w:p>
          <w:p>
            <w:pPr>
              <w:spacing w:line="240" w:lineRule="exact"/>
              <w:ind w:firstLine="432"/>
              <w:rPr>
                <w:rFonts w:hint="eastAsia" w:ascii="宋体" w:hAnsi="宋体" w:eastAsia="宋体" w:cs="宋体"/>
                <w:color w:val="auto"/>
                <w:sz w:val="21"/>
                <w:szCs w:val="21"/>
              </w:rPr>
            </w:pPr>
            <w:r>
              <w:rPr>
                <w:rFonts w:hint="eastAsia" w:ascii="宋体" w:hAnsi="宋体" w:eastAsia="宋体" w:cs="宋体"/>
                <w:color w:val="auto"/>
                <w:sz w:val="21"/>
                <w:szCs w:val="21"/>
              </w:rPr>
              <w:t>没有也不租赁储存场所从事批发业务的单位，不得将所经营的危险化学品存放在业务经营场所。</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A</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有消防验收合格的</w:t>
            </w:r>
            <w:r>
              <w:rPr>
                <w:rFonts w:hint="eastAsia" w:ascii="宋体" w:hAnsi="宋体" w:eastAsia="宋体" w:cs="宋体"/>
                <w:color w:val="auto"/>
                <w:sz w:val="21"/>
                <w:szCs w:val="21"/>
              </w:rPr>
              <w:t>氨水罐区</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2．零售业务的店面与繁华商业区或居住人口稠密区的距离应在500m以上，也可采取措施满足安全防护要求。店面经营面积（不含库房）应不小于60m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 xml:space="preserve">。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3．零售业务的店面内不得设有生活设施；只许存放民用小包装的危险化学品，其存放总质量不得超过1t，禁忌物料不能混放；综合性商场（含建材市场）所经营的危险化学品应专柜存放。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4．零售业务的店面与存放危险化学品的库房（或罩棚）应有实墙相隔。库房内单一品种存放量不能超过500kg，总质量不能超过2t。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无零售，</w:t>
            </w: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05" w:type="dxa"/>
            <w:vMerge w:val="continue"/>
            <w:tcBorders>
              <w:left w:val="single" w:color="auto" w:sz="4" w:space="0"/>
              <w:right w:val="single" w:color="auto" w:sz="4" w:space="0"/>
            </w:tcBorders>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5．零售业务店面的备货库房经公安消防部门验收合格。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bookmarkStart w:id="383" w:name="_Toc139854411"/>
            <w:bookmarkStart w:id="384" w:name="_Toc139855968"/>
            <w:bookmarkStart w:id="385" w:name="_Toc139854530"/>
            <w:bookmarkStart w:id="386" w:name="_Toc139855878"/>
            <w:bookmarkStart w:id="387" w:name="_Toc139854457"/>
            <w:r>
              <w:rPr>
                <w:rFonts w:hint="eastAsia" w:ascii="宋体" w:hAnsi="宋体" w:eastAsia="宋体" w:cs="宋体"/>
                <w:color w:val="auto"/>
                <w:sz w:val="21"/>
                <w:szCs w:val="21"/>
              </w:rPr>
              <w:t>A</w:t>
            </w:r>
            <w:bookmarkEnd w:id="383"/>
            <w:bookmarkEnd w:id="384"/>
            <w:bookmarkEnd w:id="385"/>
            <w:bookmarkEnd w:id="386"/>
            <w:bookmarkEnd w:id="38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1"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6．大型仓库（库房或货场总面积大于9000m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）、中型仓库（库房或货场总面积在550m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 xml:space="preserve"> –9000m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之间）应在远离市区和居民区的主导风向的下风向和河流下游的地域。</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bookmarkStart w:id="388" w:name="_Toc139854412"/>
            <w:bookmarkStart w:id="389" w:name="_Toc139855969"/>
            <w:bookmarkStart w:id="390" w:name="_Toc139854458"/>
            <w:bookmarkStart w:id="391" w:name="_Toc139854531"/>
            <w:bookmarkStart w:id="392" w:name="_Toc139855879"/>
            <w:r>
              <w:rPr>
                <w:rFonts w:hint="eastAsia" w:ascii="宋体" w:hAnsi="宋体" w:eastAsia="宋体" w:cs="宋体"/>
                <w:color w:val="auto"/>
                <w:sz w:val="21"/>
                <w:szCs w:val="21"/>
              </w:rPr>
              <w:t>B</w:t>
            </w:r>
            <w:bookmarkEnd w:id="388"/>
            <w:bookmarkEnd w:id="389"/>
            <w:bookmarkEnd w:id="390"/>
            <w:bookmarkEnd w:id="391"/>
            <w:bookmarkEnd w:id="39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7．大中型仓库与周围公共建筑物、交通干线、工矿企业等的距离应在1000m以上，也可采取措施满足安全防护要求。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bookmarkStart w:id="393" w:name="_Toc139855970"/>
            <w:bookmarkStart w:id="394" w:name="_Toc139854459"/>
            <w:bookmarkStart w:id="395" w:name="_Toc139854532"/>
            <w:bookmarkStart w:id="396" w:name="_Toc139855880"/>
            <w:bookmarkStart w:id="397" w:name="_Toc139854413"/>
            <w:r>
              <w:rPr>
                <w:rFonts w:hint="eastAsia" w:ascii="宋体" w:hAnsi="宋体" w:eastAsia="宋体" w:cs="宋体"/>
                <w:color w:val="auto"/>
                <w:sz w:val="21"/>
                <w:szCs w:val="21"/>
              </w:rPr>
              <w:t>B</w:t>
            </w:r>
            <w:bookmarkEnd w:id="393"/>
            <w:bookmarkEnd w:id="394"/>
            <w:bookmarkEnd w:id="395"/>
            <w:bookmarkEnd w:id="396"/>
            <w:bookmarkEnd w:id="39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8．大中型仓库内库区和生活区应分设，两区之间应有高2m以上的实体围墙，围墙与库区内建筑的距离不宜小于5m，并应满足围墙两侧建筑物之间的防火距离要求。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398" w:name="_Toc139855881"/>
            <w:bookmarkStart w:id="399" w:name="_Toc139854533"/>
            <w:bookmarkStart w:id="400" w:name="_Toc139855971"/>
            <w:bookmarkStart w:id="401" w:name="_Toc139854460"/>
            <w:bookmarkStart w:id="402" w:name="_Toc139854414"/>
            <w:r>
              <w:rPr>
                <w:rFonts w:hint="eastAsia" w:ascii="宋体" w:hAnsi="宋体" w:eastAsia="宋体" w:cs="宋体"/>
                <w:color w:val="auto"/>
                <w:spacing w:val="-12"/>
                <w:sz w:val="21"/>
                <w:szCs w:val="21"/>
              </w:rPr>
              <w:t>B</w:t>
            </w:r>
            <w:bookmarkEnd w:id="398"/>
            <w:bookmarkEnd w:id="399"/>
            <w:bookmarkEnd w:id="400"/>
            <w:bookmarkEnd w:id="401"/>
            <w:bookmarkEnd w:id="40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6"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9．小型仓库（小型仓库的库房或货场总面积小于550m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 xml:space="preserve">）危险化学品存放总质量应与仓库储存能力相适应。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03" w:name="_Toc139855882"/>
            <w:bookmarkStart w:id="404" w:name="_Toc139854534"/>
            <w:bookmarkStart w:id="405" w:name="_Toc139855972"/>
            <w:bookmarkStart w:id="406" w:name="_Toc139854415"/>
            <w:bookmarkStart w:id="407" w:name="_Toc139854461"/>
            <w:r>
              <w:rPr>
                <w:rFonts w:hint="eastAsia" w:ascii="宋体" w:hAnsi="宋体" w:eastAsia="宋体" w:cs="宋体"/>
                <w:color w:val="auto"/>
                <w:spacing w:val="-12"/>
                <w:sz w:val="21"/>
                <w:szCs w:val="21"/>
              </w:rPr>
              <w:t>B</w:t>
            </w:r>
            <w:bookmarkEnd w:id="403"/>
            <w:bookmarkEnd w:id="404"/>
            <w:bookmarkEnd w:id="405"/>
            <w:bookmarkEnd w:id="406"/>
            <w:bookmarkEnd w:id="40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危险化学品存放总质量应与仓库储存能力相适应。</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10．用于仓储运输的车辆，应经有关部门审验合格。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08" w:name="_Toc139855883"/>
            <w:bookmarkStart w:id="409" w:name="_Toc139854462"/>
            <w:bookmarkStart w:id="410" w:name="_Toc139854535"/>
            <w:bookmarkStart w:id="411" w:name="_Toc139855973"/>
            <w:bookmarkStart w:id="412" w:name="_Toc139854416"/>
            <w:r>
              <w:rPr>
                <w:rFonts w:hint="eastAsia" w:ascii="宋体" w:hAnsi="宋体" w:eastAsia="宋体" w:cs="宋体"/>
                <w:color w:val="auto"/>
                <w:spacing w:val="-12"/>
                <w:sz w:val="21"/>
                <w:szCs w:val="21"/>
              </w:rPr>
              <w:t>A</w:t>
            </w:r>
            <w:bookmarkEnd w:id="408"/>
            <w:bookmarkEnd w:id="409"/>
            <w:bookmarkEnd w:id="410"/>
            <w:bookmarkEnd w:id="411"/>
            <w:bookmarkEnd w:id="41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2"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11．危险化学品装卸码头经公安消防部门验收合格。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13" w:name="_Toc139854463"/>
            <w:bookmarkStart w:id="414" w:name="_Toc139854417"/>
            <w:bookmarkStart w:id="415" w:name="_Toc139855884"/>
            <w:bookmarkStart w:id="416" w:name="_Toc139855974"/>
            <w:bookmarkStart w:id="417" w:name="_Toc139854536"/>
            <w:r>
              <w:rPr>
                <w:rFonts w:hint="eastAsia" w:ascii="宋体" w:hAnsi="宋体" w:eastAsia="宋体" w:cs="宋体"/>
                <w:color w:val="auto"/>
                <w:spacing w:val="-12"/>
                <w:sz w:val="21"/>
                <w:szCs w:val="21"/>
              </w:rPr>
              <w:t>A</w:t>
            </w:r>
            <w:bookmarkEnd w:id="413"/>
            <w:bookmarkEnd w:id="414"/>
            <w:bookmarkEnd w:id="415"/>
            <w:bookmarkEnd w:id="416"/>
            <w:bookmarkEnd w:id="41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12．油品码头应符合《装卸油品码头防火设计规范》（JTJ237-99）的规定。</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18" w:name="_Toc139854537"/>
            <w:bookmarkStart w:id="419" w:name="_Toc139855885"/>
            <w:bookmarkStart w:id="420" w:name="_Toc139854464"/>
            <w:bookmarkStart w:id="421" w:name="_Toc139855975"/>
            <w:bookmarkStart w:id="422" w:name="_Toc139854418"/>
            <w:r>
              <w:rPr>
                <w:rFonts w:hint="eastAsia" w:ascii="宋体" w:hAnsi="宋体" w:eastAsia="宋体" w:cs="宋体"/>
                <w:color w:val="auto"/>
                <w:spacing w:val="-12"/>
                <w:sz w:val="21"/>
                <w:szCs w:val="21"/>
              </w:rPr>
              <w:t>B</w:t>
            </w:r>
            <w:bookmarkEnd w:id="418"/>
            <w:bookmarkEnd w:id="419"/>
            <w:bookmarkEnd w:id="420"/>
            <w:bookmarkEnd w:id="421"/>
            <w:bookmarkEnd w:id="42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4"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13．液化气码头应符合《液化气码头安全技术要求》（JT416-2000）的规定。</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23" w:name="_Toc139854465"/>
            <w:bookmarkStart w:id="424" w:name="_Toc139855976"/>
            <w:bookmarkStart w:id="425" w:name="_Toc139855886"/>
            <w:bookmarkStart w:id="426" w:name="_Toc139854538"/>
            <w:bookmarkStart w:id="427" w:name="_Toc139854419"/>
            <w:r>
              <w:rPr>
                <w:rFonts w:hint="eastAsia" w:ascii="宋体" w:hAnsi="宋体" w:eastAsia="宋体" w:cs="宋体"/>
                <w:color w:val="auto"/>
                <w:spacing w:val="-12"/>
                <w:sz w:val="21"/>
                <w:szCs w:val="21"/>
              </w:rPr>
              <w:t>B</w:t>
            </w:r>
            <w:bookmarkEnd w:id="423"/>
            <w:bookmarkEnd w:id="424"/>
            <w:bookmarkEnd w:id="425"/>
            <w:bookmarkEnd w:id="426"/>
            <w:bookmarkEnd w:id="42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2"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14．重力码头应符合《重力式码头设计与施工规范》（JTJ290-98）的规定。</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28" w:name="_Toc139854420"/>
            <w:bookmarkStart w:id="429" w:name="_Toc139855977"/>
            <w:bookmarkStart w:id="430" w:name="_Toc139854466"/>
            <w:bookmarkStart w:id="431" w:name="_Toc139854539"/>
            <w:bookmarkStart w:id="432" w:name="_Toc139855887"/>
            <w:r>
              <w:rPr>
                <w:rFonts w:hint="eastAsia" w:ascii="宋体" w:hAnsi="宋体" w:eastAsia="宋体" w:cs="宋体"/>
                <w:color w:val="auto"/>
                <w:spacing w:val="-12"/>
                <w:sz w:val="21"/>
                <w:szCs w:val="21"/>
              </w:rPr>
              <w:t>B</w:t>
            </w:r>
            <w:bookmarkEnd w:id="428"/>
            <w:bookmarkEnd w:id="429"/>
            <w:bookmarkEnd w:id="430"/>
            <w:bookmarkEnd w:id="431"/>
            <w:bookmarkEnd w:id="43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2"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15．斜坡码头及浮码头应符合《斜坡码头及浮码头设计与施工规范》（JTJ294-95）的规定。</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33" w:name="_Toc139855888"/>
            <w:bookmarkStart w:id="434" w:name="_Toc139855978"/>
            <w:bookmarkStart w:id="435" w:name="_Toc139854421"/>
            <w:bookmarkStart w:id="436" w:name="_Toc139854467"/>
            <w:bookmarkStart w:id="437" w:name="_Toc139854540"/>
            <w:r>
              <w:rPr>
                <w:rFonts w:hint="eastAsia" w:ascii="宋体" w:hAnsi="宋体" w:eastAsia="宋体" w:cs="宋体"/>
                <w:color w:val="auto"/>
                <w:spacing w:val="-12"/>
                <w:sz w:val="21"/>
                <w:szCs w:val="21"/>
              </w:rPr>
              <w:t>B</w:t>
            </w:r>
            <w:bookmarkEnd w:id="433"/>
            <w:bookmarkEnd w:id="434"/>
            <w:bookmarkEnd w:id="435"/>
            <w:bookmarkEnd w:id="436"/>
            <w:bookmarkEnd w:id="43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7" w:hRule="atLeast"/>
        </w:trPr>
        <w:tc>
          <w:tcPr>
            <w:tcW w:w="70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16．有火灾爆炸危险的液体汽车加油加气站物品装卸设施应符合《石油库设计规范》（GBJ74-84，1995年版）第6章的规定。</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38" w:name="_Toc139854422"/>
            <w:bookmarkStart w:id="439" w:name="_Toc139854541"/>
            <w:bookmarkStart w:id="440" w:name="_Toc139855979"/>
            <w:bookmarkStart w:id="441" w:name="_Toc139854468"/>
            <w:bookmarkStart w:id="442" w:name="_Toc139855889"/>
            <w:r>
              <w:rPr>
                <w:rFonts w:hint="eastAsia" w:ascii="宋体" w:hAnsi="宋体" w:eastAsia="宋体" w:cs="宋体"/>
                <w:color w:val="auto"/>
                <w:spacing w:val="-12"/>
                <w:sz w:val="21"/>
                <w:szCs w:val="21"/>
              </w:rPr>
              <w:t>B</w:t>
            </w:r>
            <w:bookmarkEnd w:id="438"/>
            <w:bookmarkEnd w:id="439"/>
            <w:bookmarkEnd w:id="440"/>
            <w:bookmarkEnd w:id="441"/>
            <w:bookmarkEnd w:id="44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6" w:hRule="atLeast"/>
        </w:trPr>
        <w:tc>
          <w:tcPr>
            <w:tcW w:w="705" w:type="dxa"/>
            <w:vMerge w:val="continue"/>
            <w:tcBorders>
              <w:left w:val="single" w:color="auto" w:sz="4" w:space="0"/>
              <w:bottom w:val="single" w:color="auto" w:sz="4" w:space="0"/>
              <w:right w:val="single" w:color="auto" w:sz="4" w:space="0"/>
            </w:tcBorders>
          </w:tcPr>
          <w:p>
            <w:pPr>
              <w:spacing w:line="240" w:lineRule="exact"/>
              <w:jc w:val="center"/>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17．汽车加油加气站应符合《汽车加油加气站设计与施工规范的规定》（BG50156-2002）的规定。</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43" w:name="_Toc139854542"/>
            <w:bookmarkStart w:id="444" w:name="_Toc139854469"/>
            <w:bookmarkStart w:id="445" w:name="_Toc139854423"/>
            <w:bookmarkStart w:id="446" w:name="_Toc139855980"/>
            <w:bookmarkStart w:id="447" w:name="_Toc139855890"/>
            <w:r>
              <w:rPr>
                <w:rFonts w:hint="eastAsia" w:ascii="宋体" w:hAnsi="宋体" w:eastAsia="宋体" w:cs="宋体"/>
                <w:color w:val="auto"/>
                <w:spacing w:val="-12"/>
                <w:sz w:val="21"/>
                <w:szCs w:val="21"/>
              </w:rPr>
              <w:t>B</w:t>
            </w:r>
            <w:bookmarkEnd w:id="443"/>
            <w:bookmarkEnd w:id="444"/>
            <w:bookmarkEnd w:id="445"/>
            <w:bookmarkEnd w:id="446"/>
            <w:bookmarkEnd w:id="44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8" w:hRule="atLeast"/>
        </w:trPr>
        <w:tc>
          <w:tcPr>
            <w:tcW w:w="70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ind w:right="-44" w:rightChars="-16"/>
              <w:jc w:val="center"/>
              <w:rPr>
                <w:rFonts w:hint="eastAsia" w:ascii="宋体" w:hAnsi="宋体" w:eastAsia="宋体" w:cs="宋体"/>
                <w:color w:val="auto"/>
                <w:spacing w:val="-12"/>
                <w:sz w:val="21"/>
                <w:szCs w:val="21"/>
              </w:rPr>
            </w:pPr>
            <w:r>
              <w:rPr>
                <w:rFonts w:hint="eastAsia" w:ascii="宋体" w:hAnsi="宋体" w:eastAsia="宋体" w:cs="宋体"/>
                <w:color w:val="auto"/>
                <w:spacing w:val="-12"/>
                <w:sz w:val="21"/>
                <w:szCs w:val="21"/>
              </w:rPr>
              <w:t>六</w:t>
            </w:r>
            <w:r>
              <w:rPr>
                <w:rFonts w:hint="eastAsia" w:ascii="宋体" w:hAnsi="宋体" w:eastAsia="宋体" w:cs="宋体"/>
                <w:color w:val="auto"/>
                <w:spacing w:val="-12"/>
                <w:sz w:val="21"/>
                <w:szCs w:val="21"/>
              </w:rPr>
              <w:t>、</w:t>
            </w:r>
          </w:p>
          <w:p>
            <w:pPr>
              <w:spacing w:line="240" w:lineRule="exact"/>
              <w:ind w:right="-44" w:rightChars="-16"/>
              <w:jc w:val="center"/>
              <w:rPr>
                <w:rFonts w:hint="eastAsia" w:ascii="宋体" w:hAnsi="宋体" w:eastAsia="宋体" w:cs="宋体"/>
                <w:color w:val="auto"/>
                <w:spacing w:val="-12"/>
                <w:sz w:val="21"/>
                <w:szCs w:val="21"/>
              </w:rPr>
            </w:pPr>
            <w:r>
              <w:rPr>
                <w:rFonts w:hint="eastAsia" w:ascii="宋体" w:hAnsi="宋体" w:eastAsia="宋体" w:cs="宋体"/>
                <w:color w:val="auto"/>
                <w:spacing w:val="-12"/>
                <w:sz w:val="21"/>
                <w:szCs w:val="21"/>
              </w:rPr>
              <w:t>仓</w:t>
            </w:r>
          </w:p>
          <w:p>
            <w:pPr>
              <w:spacing w:line="240" w:lineRule="exact"/>
              <w:ind w:right="-44" w:rightChars="-16"/>
              <w:jc w:val="center"/>
              <w:rPr>
                <w:rFonts w:hint="eastAsia" w:ascii="宋体" w:hAnsi="宋体" w:eastAsia="宋体" w:cs="宋体"/>
                <w:color w:val="auto"/>
                <w:spacing w:val="-12"/>
                <w:sz w:val="21"/>
                <w:szCs w:val="21"/>
              </w:rPr>
            </w:pPr>
            <w:r>
              <w:rPr>
                <w:rFonts w:hint="eastAsia" w:ascii="宋体" w:hAnsi="宋体" w:eastAsia="宋体" w:cs="宋体"/>
                <w:color w:val="auto"/>
                <w:spacing w:val="-12"/>
                <w:sz w:val="21"/>
                <w:szCs w:val="21"/>
              </w:rPr>
              <w:t>库</w:t>
            </w:r>
          </w:p>
          <w:p>
            <w:pPr>
              <w:spacing w:line="240" w:lineRule="exact"/>
              <w:ind w:right="-44" w:rightChars="-16"/>
              <w:jc w:val="center"/>
              <w:rPr>
                <w:rFonts w:hint="eastAsia" w:ascii="宋体" w:hAnsi="宋体" w:eastAsia="宋体" w:cs="宋体"/>
                <w:color w:val="auto"/>
                <w:spacing w:val="-12"/>
                <w:sz w:val="21"/>
                <w:szCs w:val="21"/>
              </w:rPr>
            </w:pPr>
            <w:r>
              <w:rPr>
                <w:rFonts w:hint="eastAsia" w:ascii="宋体" w:hAnsi="宋体" w:eastAsia="宋体" w:cs="宋体"/>
                <w:color w:val="auto"/>
                <w:spacing w:val="-12"/>
                <w:sz w:val="21"/>
                <w:szCs w:val="21"/>
              </w:rPr>
              <w:t>建</w:t>
            </w:r>
          </w:p>
          <w:p>
            <w:pPr>
              <w:spacing w:line="240" w:lineRule="exact"/>
              <w:ind w:right="-44" w:rightChars="-16"/>
              <w:jc w:val="center"/>
              <w:rPr>
                <w:rFonts w:hint="eastAsia" w:ascii="宋体" w:hAnsi="宋体" w:eastAsia="宋体" w:cs="宋体"/>
                <w:color w:val="auto"/>
                <w:spacing w:val="-12"/>
                <w:sz w:val="21"/>
                <w:szCs w:val="21"/>
              </w:rPr>
            </w:pPr>
            <w:r>
              <w:rPr>
                <w:rFonts w:hint="eastAsia" w:ascii="宋体" w:hAnsi="宋体" w:eastAsia="宋体" w:cs="宋体"/>
                <w:color w:val="auto"/>
                <w:spacing w:val="-12"/>
                <w:sz w:val="21"/>
                <w:szCs w:val="21"/>
              </w:rPr>
              <w:t>筑</w:t>
            </w:r>
          </w:p>
          <w:p>
            <w:pPr>
              <w:spacing w:line="240" w:lineRule="exact"/>
              <w:ind w:right="-44" w:rightChars="-16"/>
              <w:jc w:val="center"/>
              <w:rPr>
                <w:rFonts w:hint="eastAsia" w:ascii="宋体" w:hAnsi="宋体" w:eastAsia="宋体" w:cs="宋体"/>
                <w:color w:val="auto"/>
                <w:spacing w:val="-12"/>
                <w:sz w:val="21"/>
                <w:szCs w:val="21"/>
              </w:rPr>
            </w:pPr>
            <w:r>
              <w:rPr>
                <w:rFonts w:hint="eastAsia" w:ascii="宋体" w:hAnsi="宋体" w:eastAsia="宋体" w:cs="宋体"/>
                <w:color w:val="auto"/>
                <w:spacing w:val="-12"/>
                <w:sz w:val="21"/>
                <w:szCs w:val="21"/>
              </w:rPr>
              <w:t>要</w:t>
            </w:r>
          </w:p>
          <w:p>
            <w:pPr>
              <w:spacing w:line="240" w:lineRule="exact"/>
              <w:ind w:right="-44" w:rightChars="-16"/>
              <w:jc w:val="center"/>
              <w:rPr>
                <w:rFonts w:hint="eastAsia" w:ascii="宋体" w:hAnsi="宋体" w:eastAsia="宋体" w:cs="宋体"/>
                <w:color w:val="auto"/>
                <w:spacing w:val="-12"/>
                <w:sz w:val="21"/>
                <w:szCs w:val="21"/>
              </w:rPr>
            </w:pPr>
            <w:r>
              <w:rPr>
                <w:rFonts w:hint="eastAsia" w:ascii="宋体" w:hAnsi="宋体" w:eastAsia="宋体" w:cs="宋体"/>
                <w:color w:val="auto"/>
                <w:spacing w:val="-12"/>
                <w:sz w:val="21"/>
                <w:szCs w:val="21"/>
              </w:rPr>
              <w:t>求</w:t>
            </w:r>
          </w:p>
        </w:tc>
        <w:tc>
          <w:tcPr>
            <w:tcW w:w="5356"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1．建筑物经公安消防部门验收合格。</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48" w:name="_Toc139854424"/>
            <w:bookmarkStart w:id="449" w:name="_Toc139855891"/>
            <w:bookmarkStart w:id="450" w:name="_Toc139854470"/>
            <w:bookmarkStart w:id="451" w:name="_Toc139855981"/>
            <w:bookmarkStart w:id="452" w:name="_Toc139854543"/>
            <w:r>
              <w:rPr>
                <w:rFonts w:hint="eastAsia" w:ascii="宋体" w:hAnsi="宋体" w:eastAsia="宋体" w:cs="宋体"/>
                <w:color w:val="auto"/>
                <w:spacing w:val="-12"/>
                <w:sz w:val="21"/>
                <w:szCs w:val="21"/>
              </w:rPr>
              <w:t>A</w:t>
            </w:r>
            <w:bookmarkEnd w:id="448"/>
            <w:bookmarkEnd w:id="449"/>
            <w:bookmarkEnd w:id="450"/>
            <w:bookmarkEnd w:id="451"/>
            <w:bookmarkEnd w:id="45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经过消防验收</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705"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2．库房耐火等级、层数、占地面积、安全通道和防火间距，甲、乙、丙类液体储罐、堆场的布置和防火间距，可燃、助燃气体储罐的防火间距，液化石油气储罐的布置和防火间距，易燃、可燃材料的露天、半露天堆场的布置和防火间距，仓库、储罐区、堆场的布置及与铁路、道路的防火间距，应符合《建筑设计防火规范》（GB50016-20</w:t>
            </w:r>
            <w:r>
              <w:rPr>
                <w:rFonts w:hint="eastAsia" w:ascii="宋体" w:hAnsi="宋体" w:eastAsia="宋体" w:cs="宋体"/>
                <w:color w:val="auto"/>
                <w:sz w:val="21"/>
                <w:szCs w:val="21"/>
              </w:rPr>
              <w:t>14</w:t>
            </w:r>
            <w:r>
              <w:rPr>
                <w:rFonts w:hint="eastAsia" w:ascii="宋体" w:hAnsi="宋体" w:eastAsia="宋体" w:cs="宋体"/>
                <w:color w:val="auto"/>
                <w:sz w:val="21"/>
                <w:szCs w:val="21"/>
              </w:rPr>
              <w:t xml:space="preserve">）的要求。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53" w:name="_Toc139854471"/>
            <w:bookmarkStart w:id="454" w:name="_Toc139854544"/>
            <w:bookmarkStart w:id="455" w:name="_Toc139855982"/>
            <w:bookmarkStart w:id="456" w:name="_Toc139854425"/>
            <w:bookmarkStart w:id="457" w:name="_Toc139855892"/>
            <w:r>
              <w:rPr>
                <w:rFonts w:hint="eastAsia" w:ascii="宋体" w:hAnsi="宋体" w:eastAsia="宋体" w:cs="宋体"/>
                <w:color w:val="auto"/>
                <w:spacing w:val="-12"/>
                <w:sz w:val="21"/>
                <w:szCs w:val="21"/>
              </w:rPr>
              <w:t>B</w:t>
            </w:r>
            <w:bookmarkEnd w:id="453"/>
            <w:bookmarkEnd w:id="454"/>
            <w:bookmarkEnd w:id="455"/>
            <w:bookmarkEnd w:id="456"/>
            <w:bookmarkEnd w:id="45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符合GB5001</w:t>
            </w:r>
            <w:r>
              <w:rPr>
                <w:rFonts w:hint="eastAsia" w:ascii="宋体" w:hAnsi="宋体" w:eastAsia="宋体" w:cs="宋体"/>
                <w:color w:val="auto"/>
                <w:sz w:val="21"/>
                <w:szCs w:val="21"/>
              </w:rPr>
              <w:t>6</w:t>
            </w:r>
            <w:r>
              <w:rPr>
                <w:rFonts w:hint="eastAsia" w:ascii="宋体" w:hAnsi="宋体" w:eastAsia="宋体" w:cs="宋体"/>
                <w:color w:val="auto"/>
                <w:sz w:val="21"/>
                <w:szCs w:val="21"/>
              </w:rPr>
              <w:t>的要求</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pacing w:val="-18"/>
                <w:sz w:val="21"/>
                <w:szCs w:val="21"/>
              </w:rPr>
            </w:pPr>
            <w:r>
              <w:rPr>
                <w:rFonts w:hint="eastAsia" w:ascii="宋体" w:hAnsi="宋体" w:eastAsia="宋体" w:cs="宋体"/>
                <w:color w:val="auto"/>
                <w:sz w:val="21"/>
                <w:szCs w:val="21"/>
              </w:rPr>
              <w:t>3．库房门应为铁质或木质外包铁皮，采用外开式。设置高侧窗（剧毒物品仓库的窗户应设铁护栏）。</w:t>
            </w:r>
            <w:r>
              <w:rPr>
                <w:rFonts w:hint="eastAsia" w:ascii="宋体" w:hAnsi="宋体" w:eastAsia="宋体" w:cs="宋体"/>
                <w:color w:val="auto"/>
                <w:spacing w:val="-18"/>
                <w:sz w:val="21"/>
                <w:szCs w:val="21"/>
              </w:rPr>
              <w:t xml:space="preserve">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58" w:name="_Toc139854545"/>
            <w:bookmarkStart w:id="459" w:name="_Toc139854472"/>
            <w:bookmarkStart w:id="460" w:name="_Toc139855983"/>
            <w:bookmarkStart w:id="461" w:name="_Toc139855893"/>
            <w:bookmarkStart w:id="462" w:name="_Toc139854426"/>
            <w:r>
              <w:rPr>
                <w:rFonts w:hint="eastAsia" w:ascii="宋体" w:hAnsi="宋体" w:eastAsia="宋体" w:cs="宋体"/>
                <w:color w:val="auto"/>
                <w:spacing w:val="-12"/>
                <w:sz w:val="21"/>
                <w:szCs w:val="21"/>
              </w:rPr>
              <w:t>B</w:t>
            </w:r>
            <w:bookmarkEnd w:id="458"/>
            <w:bookmarkEnd w:id="459"/>
            <w:bookmarkEnd w:id="460"/>
            <w:bookmarkEnd w:id="461"/>
            <w:bookmarkEnd w:id="46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4．毒害品、腐蚀性物品库房的耐火等级不低于二级。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63" w:name="_Toc139854473"/>
            <w:bookmarkStart w:id="464" w:name="_Toc139855894"/>
            <w:bookmarkStart w:id="465" w:name="_Toc139855984"/>
            <w:bookmarkStart w:id="466" w:name="_Toc139854546"/>
            <w:bookmarkStart w:id="467" w:name="_Toc139854427"/>
            <w:r>
              <w:rPr>
                <w:rFonts w:hint="eastAsia" w:ascii="宋体" w:hAnsi="宋体" w:eastAsia="宋体" w:cs="宋体"/>
                <w:color w:val="auto"/>
                <w:spacing w:val="-12"/>
                <w:sz w:val="21"/>
                <w:szCs w:val="21"/>
              </w:rPr>
              <w:t>B</w:t>
            </w:r>
            <w:bookmarkEnd w:id="463"/>
            <w:bookmarkEnd w:id="464"/>
            <w:bookmarkEnd w:id="465"/>
            <w:bookmarkEnd w:id="466"/>
            <w:bookmarkEnd w:id="46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二级</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5．甲、乙类库房内不准设办公室、休息室。设在丙、丁类库房内的办公室、休息室，应采用耐火极限不低于2.5h的不燃烧隔墙和耐火极限不低于1h的楼板分隔开，其出应直通室外或疏散通道。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68" w:name="_Toc139855985"/>
            <w:bookmarkStart w:id="469" w:name="_Toc139854428"/>
            <w:bookmarkStart w:id="470" w:name="_Toc139854474"/>
            <w:bookmarkStart w:id="471" w:name="_Toc139854547"/>
            <w:bookmarkStart w:id="472" w:name="_Toc139855895"/>
            <w:r>
              <w:rPr>
                <w:rFonts w:hint="eastAsia" w:ascii="宋体" w:hAnsi="宋体" w:eastAsia="宋体" w:cs="宋体"/>
                <w:color w:val="auto"/>
                <w:spacing w:val="-12"/>
                <w:sz w:val="21"/>
                <w:szCs w:val="21"/>
              </w:rPr>
              <w:t>B</w:t>
            </w:r>
            <w:bookmarkEnd w:id="468"/>
            <w:bookmarkEnd w:id="469"/>
            <w:bookmarkEnd w:id="470"/>
            <w:bookmarkEnd w:id="471"/>
            <w:bookmarkEnd w:id="47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未设</w:t>
            </w:r>
            <w:r>
              <w:rPr>
                <w:rFonts w:hint="eastAsia" w:ascii="宋体" w:hAnsi="宋体" w:eastAsia="宋体" w:cs="宋体"/>
                <w:color w:val="auto"/>
                <w:sz w:val="21"/>
                <w:szCs w:val="21"/>
              </w:rPr>
              <w:t>办公室、休息室</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6．对于易产生粉尘、蒸汽、腐蚀性气体的库房，应有防护措施。剧毒物品的库房应有机械通风排毒设备。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73" w:name="_Toc139854548"/>
            <w:bookmarkStart w:id="474" w:name="_Toc139855896"/>
            <w:bookmarkStart w:id="475" w:name="_Toc139854475"/>
            <w:bookmarkStart w:id="476" w:name="_Toc139855986"/>
            <w:bookmarkStart w:id="477" w:name="_Toc139854429"/>
            <w:r>
              <w:rPr>
                <w:rFonts w:hint="eastAsia" w:ascii="宋体" w:hAnsi="宋体" w:eastAsia="宋体" w:cs="宋体"/>
                <w:color w:val="auto"/>
                <w:spacing w:val="-12"/>
                <w:sz w:val="21"/>
                <w:szCs w:val="21"/>
              </w:rPr>
              <w:t>B</w:t>
            </w:r>
            <w:bookmarkEnd w:id="473"/>
            <w:bookmarkEnd w:id="474"/>
            <w:bookmarkEnd w:id="475"/>
            <w:bookmarkEnd w:id="476"/>
            <w:bookmarkEnd w:id="47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厂房</w:t>
            </w:r>
            <w:r>
              <w:rPr>
                <w:rFonts w:hint="eastAsia" w:ascii="宋体" w:hAnsi="宋体" w:eastAsia="宋体" w:cs="宋体"/>
                <w:color w:val="auto"/>
                <w:sz w:val="21"/>
                <w:szCs w:val="21"/>
              </w:rPr>
              <w:t>有防护措施</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7．库房的采暖、通风和空气调节应符合《建筑设计防火规范》（GB50016-2006）第九章的要求。</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78" w:name="_Toc139854430"/>
            <w:bookmarkStart w:id="479" w:name="_Toc139854549"/>
            <w:bookmarkStart w:id="480" w:name="_Toc139855897"/>
            <w:bookmarkStart w:id="481" w:name="_Toc139855987"/>
            <w:bookmarkStart w:id="482" w:name="_Toc139854476"/>
            <w:r>
              <w:rPr>
                <w:rFonts w:hint="eastAsia" w:ascii="宋体" w:hAnsi="宋体" w:eastAsia="宋体" w:cs="宋体"/>
                <w:color w:val="auto"/>
                <w:spacing w:val="-12"/>
                <w:sz w:val="21"/>
                <w:szCs w:val="21"/>
              </w:rPr>
              <w:t>B</w:t>
            </w:r>
            <w:bookmarkEnd w:id="478"/>
            <w:bookmarkEnd w:id="479"/>
            <w:bookmarkEnd w:id="480"/>
            <w:bookmarkEnd w:id="481"/>
            <w:bookmarkEnd w:id="48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5"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8．库房采暖应采用水暖，不得使用蒸汽采暖和机械采暖，其散热器、供暖管道与储存物品的距离不小于0.3m。采暖管道和设备的保温材料应采用非燃烧材料。</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83" w:name="_Toc139855898"/>
            <w:bookmarkStart w:id="484" w:name="_Toc139854477"/>
            <w:bookmarkStart w:id="485" w:name="_Toc139855988"/>
            <w:bookmarkStart w:id="486" w:name="_Toc139854431"/>
            <w:bookmarkStart w:id="487" w:name="_Toc139854550"/>
            <w:r>
              <w:rPr>
                <w:rFonts w:hint="eastAsia" w:ascii="宋体" w:hAnsi="宋体" w:eastAsia="宋体" w:cs="宋体"/>
                <w:color w:val="auto"/>
                <w:spacing w:val="-12"/>
                <w:sz w:val="21"/>
                <w:szCs w:val="21"/>
              </w:rPr>
              <w:t>B</w:t>
            </w:r>
            <w:bookmarkEnd w:id="483"/>
            <w:bookmarkEnd w:id="484"/>
            <w:bookmarkEnd w:id="485"/>
            <w:bookmarkEnd w:id="486"/>
            <w:bookmarkEnd w:id="48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1"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宋体" w:hAnsi="宋体" w:eastAsia="宋体" w:cs="宋体"/>
                <w:color w:val="auto"/>
                <w:spacing w:val="-12"/>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9．石油库应符合《石油库设计规范》（GB50074-2002）的规定</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pacing w:val="-12"/>
                <w:sz w:val="21"/>
                <w:szCs w:val="21"/>
              </w:rPr>
            </w:pPr>
            <w:bookmarkStart w:id="488" w:name="_Toc139855899"/>
            <w:bookmarkStart w:id="489" w:name="_Toc139854432"/>
            <w:bookmarkStart w:id="490" w:name="_Toc139854551"/>
            <w:bookmarkStart w:id="491" w:name="_Toc139854478"/>
            <w:bookmarkStart w:id="492" w:name="_Toc139855989"/>
            <w:r>
              <w:rPr>
                <w:rFonts w:hint="eastAsia" w:ascii="宋体" w:hAnsi="宋体" w:eastAsia="宋体" w:cs="宋体"/>
                <w:color w:val="auto"/>
                <w:spacing w:val="-12"/>
                <w:sz w:val="21"/>
                <w:szCs w:val="21"/>
              </w:rPr>
              <w:t>B</w:t>
            </w:r>
            <w:bookmarkEnd w:id="488"/>
            <w:bookmarkEnd w:id="489"/>
            <w:bookmarkEnd w:id="490"/>
            <w:bookmarkEnd w:id="491"/>
            <w:bookmarkEnd w:id="49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ind w:right="-61" w:rightChars="-22"/>
              <w:jc w:val="center"/>
              <w:rPr>
                <w:rFonts w:hint="eastAsia" w:ascii="宋体" w:hAnsi="宋体" w:eastAsia="宋体" w:cs="宋体"/>
                <w:color w:val="auto"/>
                <w:sz w:val="21"/>
                <w:szCs w:val="21"/>
              </w:rPr>
            </w:pPr>
            <w:r>
              <w:rPr>
                <w:rFonts w:hint="eastAsia" w:ascii="宋体" w:hAnsi="宋体" w:eastAsia="宋体" w:cs="宋体"/>
                <w:color w:val="auto"/>
                <w:sz w:val="21"/>
                <w:szCs w:val="21"/>
              </w:rPr>
              <w:t>七</w:t>
            </w:r>
            <w:r>
              <w:rPr>
                <w:rFonts w:hint="eastAsia" w:ascii="宋体" w:hAnsi="宋体" w:eastAsia="宋体" w:cs="宋体"/>
                <w:color w:val="auto"/>
                <w:sz w:val="21"/>
                <w:szCs w:val="21"/>
              </w:rPr>
              <w:t>、</w:t>
            </w:r>
          </w:p>
          <w:p>
            <w:pPr>
              <w:spacing w:line="240" w:lineRule="exact"/>
              <w:ind w:right="-61" w:rightChars="-22"/>
              <w:jc w:val="center"/>
              <w:rPr>
                <w:rFonts w:hint="eastAsia" w:ascii="宋体" w:hAnsi="宋体" w:eastAsia="宋体" w:cs="宋体"/>
                <w:color w:val="auto"/>
                <w:sz w:val="21"/>
                <w:szCs w:val="21"/>
              </w:rPr>
            </w:pPr>
            <w:r>
              <w:rPr>
                <w:rFonts w:hint="eastAsia" w:ascii="宋体" w:hAnsi="宋体" w:eastAsia="宋体" w:cs="宋体"/>
                <w:color w:val="auto"/>
                <w:sz w:val="21"/>
                <w:szCs w:val="21"/>
              </w:rPr>
              <w:t>消</w:t>
            </w:r>
          </w:p>
          <w:p>
            <w:pPr>
              <w:spacing w:line="240" w:lineRule="exact"/>
              <w:ind w:right="-61" w:rightChars="-22"/>
              <w:jc w:val="center"/>
              <w:rPr>
                <w:rFonts w:hint="eastAsia" w:ascii="宋体" w:hAnsi="宋体" w:eastAsia="宋体" w:cs="宋体"/>
                <w:color w:val="auto"/>
                <w:sz w:val="21"/>
                <w:szCs w:val="21"/>
              </w:rPr>
            </w:pPr>
            <w:r>
              <w:rPr>
                <w:rFonts w:hint="eastAsia" w:ascii="宋体" w:hAnsi="宋体" w:eastAsia="宋体" w:cs="宋体"/>
                <w:color w:val="auto"/>
                <w:sz w:val="21"/>
                <w:szCs w:val="21"/>
              </w:rPr>
              <w:t>防</w:t>
            </w:r>
          </w:p>
          <w:p>
            <w:pPr>
              <w:spacing w:line="240" w:lineRule="exact"/>
              <w:ind w:right="-61" w:rightChars="-22"/>
              <w:jc w:val="center"/>
              <w:rPr>
                <w:rFonts w:hint="eastAsia" w:ascii="宋体" w:hAnsi="宋体" w:eastAsia="宋体" w:cs="宋体"/>
                <w:color w:val="auto"/>
                <w:sz w:val="21"/>
                <w:szCs w:val="21"/>
              </w:rPr>
            </w:pPr>
            <w:r>
              <w:rPr>
                <w:rFonts w:hint="eastAsia" w:ascii="宋体" w:hAnsi="宋体" w:eastAsia="宋体" w:cs="宋体"/>
                <w:color w:val="auto"/>
                <w:sz w:val="21"/>
                <w:szCs w:val="21"/>
              </w:rPr>
              <w:t>与</w:t>
            </w:r>
          </w:p>
          <w:p>
            <w:pPr>
              <w:spacing w:line="240" w:lineRule="exact"/>
              <w:ind w:right="-61" w:rightChars="-22"/>
              <w:jc w:val="center"/>
              <w:rPr>
                <w:rFonts w:hint="eastAsia" w:ascii="宋体" w:hAnsi="宋体" w:eastAsia="宋体" w:cs="宋体"/>
                <w:color w:val="auto"/>
                <w:sz w:val="21"/>
                <w:szCs w:val="21"/>
              </w:rPr>
            </w:pPr>
            <w:r>
              <w:rPr>
                <w:rFonts w:hint="eastAsia" w:ascii="宋体" w:hAnsi="宋体" w:eastAsia="宋体" w:cs="宋体"/>
                <w:color w:val="auto"/>
                <w:sz w:val="21"/>
                <w:szCs w:val="21"/>
              </w:rPr>
              <w:t>电</w:t>
            </w:r>
          </w:p>
          <w:p>
            <w:pPr>
              <w:spacing w:line="240" w:lineRule="exact"/>
              <w:ind w:right="-61" w:rightChars="-22"/>
              <w:jc w:val="center"/>
              <w:rPr>
                <w:rFonts w:hint="eastAsia" w:ascii="宋体" w:hAnsi="宋体" w:eastAsia="宋体" w:cs="宋体"/>
                <w:color w:val="auto"/>
                <w:sz w:val="21"/>
                <w:szCs w:val="21"/>
              </w:rPr>
            </w:pPr>
            <w:r>
              <w:rPr>
                <w:rFonts w:hint="eastAsia" w:ascii="宋体" w:hAnsi="宋体" w:eastAsia="宋体" w:cs="宋体"/>
                <w:color w:val="auto"/>
                <w:sz w:val="21"/>
                <w:szCs w:val="21"/>
              </w:rPr>
              <w:t>气</w:t>
            </w:r>
          </w:p>
          <w:p>
            <w:pPr>
              <w:spacing w:line="240" w:lineRule="exact"/>
              <w:ind w:right="-61" w:rightChars="-22"/>
              <w:jc w:val="center"/>
              <w:rPr>
                <w:rFonts w:hint="eastAsia" w:ascii="宋体" w:hAnsi="宋体" w:eastAsia="宋体" w:cs="宋体"/>
                <w:color w:val="auto"/>
                <w:sz w:val="21"/>
                <w:szCs w:val="21"/>
              </w:rPr>
            </w:pPr>
            <w:r>
              <w:rPr>
                <w:rFonts w:hint="eastAsia" w:ascii="宋体" w:hAnsi="宋体" w:eastAsia="宋体" w:cs="宋体"/>
                <w:color w:val="auto"/>
                <w:sz w:val="21"/>
                <w:szCs w:val="21"/>
              </w:rPr>
              <w:t>设</w:t>
            </w:r>
          </w:p>
          <w:p>
            <w:pPr>
              <w:spacing w:line="240" w:lineRule="exact"/>
              <w:ind w:right="-61" w:rightChars="-22"/>
              <w:jc w:val="center"/>
              <w:rPr>
                <w:rFonts w:hint="eastAsia" w:ascii="宋体" w:hAnsi="宋体" w:eastAsia="宋体" w:cs="宋体"/>
                <w:color w:val="auto"/>
                <w:sz w:val="21"/>
                <w:szCs w:val="21"/>
              </w:rPr>
            </w:pPr>
            <w:r>
              <w:rPr>
                <w:rFonts w:hint="eastAsia" w:ascii="宋体" w:hAnsi="宋体" w:eastAsia="宋体" w:cs="宋体"/>
                <w:color w:val="auto"/>
                <w:sz w:val="21"/>
                <w:szCs w:val="21"/>
              </w:rPr>
              <w:t>施</w:t>
            </w: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1．仓库的消防给水和灭火设备应符合《建筑设计防火规范》（GB50016-2006）第八章的规定。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bookmarkStart w:id="493" w:name="_Toc139855900"/>
            <w:bookmarkStart w:id="494" w:name="_Toc139854479"/>
            <w:bookmarkStart w:id="495" w:name="_Toc139854433"/>
            <w:bookmarkStart w:id="496" w:name="_Toc139855990"/>
            <w:bookmarkStart w:id="497" w:name="_Toc139854552"/>
            <w:r>
              <w:rPr>
                <w:rFonts w:hint="eastAsia" w:ascii="宋体" w:hAnsi="宋体" w:eastAsia="宋体" w:cs="宋体"/>
                <w:color w:val="auto"/>
                <w:sz w:val="21"/>
                <w:szCs w:val="21"/>
              </w:rPr>
              <w:t>B</w:t>
            </w:r>
            <w:bookmarkEnd w:id="493"/>
            <w:bookmarkEnd w:id="494"/>
            <w:bookmarkEnd w:id="495"/>
            <w:bookmarkEnd w:id="496"/>
            <w:bookmarkEnd w:id="497"/>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2．仓库的消防设施、器材有专人管理。消防器材应设置在明显和便于取用的地点，周围不准存放其它物品。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bookmarkStart w:id="498" w:name="_Toc139855991"/>
            <w:bookmarkStart w:id="499" w:name="_Toc139854553"/>
            <w:bookmarkStart w:id="500" w:name="_Toc139854434"/>
            <w:bookmarkStart w:id="501" w:name="_Toc139855901"/>
            <w:bookmarkStart w:id="502" w:name="_Toc139854480"/>
            <w:r>
              <w:rPr>
                <w:rFonts w:hint="eastAsia" w:ascii="宋体" w:hAnsi="宋体" w:eastAsia="宋体" w:cs="宋体"/>
                <w:color w:val="auto"/>
                <w:sz w:val="21"/>
                <w:szCs w:val="21"/>
              </w:rPr>
              <w:t>B</w:t>
            </w:r>
            <w:bookmarkEnd w:id="498"/>
            <w:bookmarkEnd w:id="499"/>
            <w:bookmarkEnd w:id="500"/>
            <w:bookmarkEnd w:id="501"/>
            <w:bookmarkEnd w:id="502"/>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w:t>
            </w:r>
            <w:r>
              <w:rPr>
                <w:rFonts w:hint="eastAsia" w:ascii="宋体" w:hAnsi="宋体" w:eastAsia="宋体" w:cs="宋体"/>
                <w:color w:val="auto"/>
                <w:sz w:val="21"/>
                <w:szCs w:val="21"/>
              </w:rPr>
              <w:t>防器材设置在明显和便于取用的地点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3．危险化学品仓库有报警装置，有供对外报警、联络的通讯设备。</w:t>
            </w:r>
            <w:r>
              <w:rPr>
                <w:rFonts w:hint="eastAsia" w:ascii="宋体" w:hAnsi="宋体" w:eastAsia="宋体" w:cs="宋体"/>
                <w:color w:val="auto"/>
                <w:sz w:val="21"/>
                <w:szCs w:val="21"/>
              </w:rPr>
              <w:t xml:space="preserve">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有报警装置</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4．仓库应设置醒目的防火、禁止吸烟和动用明火标志。</w:t>
            </w:r>
            <w:r>
              <w:rPr>
                <w:rFonts w:hint="eastAsia" w:ascii="宋体" w:hAnsi="宋体" w:eastAsia="宋体" w:cs="宋体"/>
                <w:color w:val="auto"/>
                <w:sz w:val="21"/>
                <w:szCs w:val="21"/>
              </w:rPr>
              <w:t xml:space="preserve">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设置醒目的禁止吸烟和动用明火标志</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5．仓库的电气设备应符合《建筑防火规范》（GB50016-20</w:t>
            </w:r>
            <w:r>
              <w:rPr>
                <w:rFonts w:hint="eastAsia" w:ascii="宋体" w:hAnsi="宋体" w:eastAsia="宋体" w:cs="宋体"/>
                <w:color w:val="auto"/>
                <w:sz w:val="21"/>
                <w:szCs w:val="21"/>
              </w:rPr>
              <w:t>14</w:t>
            </w:r>
            <w:r>
              <w:rPr>
                <w:rFonts w:hint="eastAsia" w:ascii="宋体" w:hAnsi="宋体" w:eastAsia="宋体" w:cs="宋体"/>
                <w:color w:val="auto"/>
                <w:sz w:val="21"/>
                <w:szCs w:val="21"/>
              </w:rPr>
              <w:t>）第十章的规定。</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6．爆炸和火灾危险场所的电气设备应符合《爆炸和火灾危险环境电力装置设计规范》(GB50058-92)的规定。</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7．甲、乙类物品库房设置的电瓶车、铲车是防爆型的。</w:t>
            </w:r>
            <w:r>
              <w:rPr>
                <w:rFonts w:hint="eastAsia" w:ascii="宋体" w:hAnsi="宋体" w:eastAsia="宋体" w:cs="宋体"/>
                <w:color w:val="auto"/>
                <w:sz w:val="21"/>
                <w:szCs w:val="21"/>
              </w:rPr>
              <w:t xml:space="preserve">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无此项</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8．库房内不准设置移动式照明灯具，不准设置电炉、电烙铁、电熨斗等电热器具和电视机、电冰箱等家用电器。</w:t>
            </w:r>
            <w:r>
              <w:rPr>
                <w:rFonts w:hint="eastAsia" w:ascii="宋体" w:hAnsi="宋体" w:eastAsia="宋体" w:cs="宋体"/>
                <w:color w:val="auto"/>
                <w:sz w:val="21"/>
                <w:szCs w:val="21"/>
              </w:rPr>
              <w:t xml:space="preserve">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未</w:t>
            </w:r>
            <w:r>
              <w:rPr>
                <w:rFonts w:hint="eastAsia" w:ascii="宋体" w:hAnsi="宋体" w:eastAsia="宋体" w:cs="宋体"/>
                <w:color w:val="auto"/>
                <w:sz w:val="21"/>
                <w:szCs w:val="21"/>
              </w:rPr>
              <w:t>设置移动式照明灯具</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9．散发可燃气体、可燃蒸汽的甲类场所，有可燃气体浓度检漏报警仪。</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设置氨气报警仪</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10．仓库有符合国家标准《建筑物防雷设计规范》(GB50057-94)规定的防雷装置。</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防雷检测合格</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5356" w:type="dxa"/>
            <w:tcBorders>
              <w:top w:val="single" w:color="auto" w:sz="4" w:space="0"/>
              <w:left w:val="single" w:color="auto" w:sz="4" w:space="0"/>
              <w:bottom w:val="single" w:color="auto" w:sz="4" w:space="0"/>
              <w:right w:val="single" w:color="auto" w:sz="4" w:space="0"/>
            </w:tcBorders>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11．储存甲、乙、丙类物品的储罐、管道及其装卸设施应有符合相应国家标准设计规范规定的防静电措施。 </w:t>
            </w:r>
          </w:p>
        </w:tc>
        <w:tc>
          <w:tcPr>
            <w:tcW w:w="5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B</w:t>
            </w:r>
          </w:p>
        </w:tc>
        <w:tc>
          <w:tcPr>
            <w:tcW w:w="19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有防静电措施</w:t>
            </w:r>
          </w:p>
        </w:tc>
        <w:tc>
          <w:tcPr>
            <w:tcW w:w="6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bl>
    <w:p>
      <w:pPr>
        <w:pageBreakBefore w:val="0"/>
        <w:kinsoku/>
        <w:wordWrap/>
        <w:overflowPunct/>
        <w:topLinePunct w:val="0"/>
        <w:autoSpaceDE/>
        <w:autoSpaceDN/>
        <w:bidi w:val="0"/>
        <w:adjustRightInd/>
        <w:snapToGrid/>
        <w:spacing w:line="600" w:lineRule="exact"/>
        <w:ind w:firstLine="570"/>
        <w:textAlignment w:val="auto"/>
        <w:rPr>
          <w:rFonts w:hint="eastAsia" w:ascii="宋体" w:hAnsi="宋体" w:eastAsia="宋体" w:cs="宋体"/>
          <w:color w:val="auto"/>
          <w:szCs w:val="28"/>
        </w:rPr>
      </w:pPr>
      <w:r>
        <w:rPr>
          <w:rFonts w:hint="eastAsia" w:ascii="宋体" w:hAnsi="宋体" w:eastAsia="宋体" w:cs="宋体"/>
          <w:color w:val="auto"/>
          <w:szCs w:val="28"/>
        </w:rPr>
        <w:t>注：⒈类别栏标注“</w:t>
      </w:r>
      <w:r>
        <w:rPr>
          <w:rFonts w:hint="eastAsia" w:ascii="宋体" w:hAnsi="宋体" w:eastAsia="宋体" w:cs="宋体"/>
          <w:color w:val="auto"/>
          <w:szCs w:val="28"/>
        </w:rPr>
        <w:t>A</w:t>
      </w:r>
      <w:r>
        <w:rPr>
          <w:rFonts w:hint="eastAsia" w:ascii="宋体" w:hAnsi="宋体" w:eastAsia="宋体" w:cs="宋体"/>
          <w:color w:val="auto"/>
          <w:szCs w:val="28"/>
        </w:rPr>
        <w:t>”的，属否决项；类别栏标注“</w:t>
      </w:r>
      <w:r>
        <w:rPr>
          <w:rFonts w:hint="eastAsia" w:ascii="宋体" w:hAnsi="宋体" w:eastAsia="宋体" w:cs="宋体"/>
          <w:color w:val="auto"/>
          <w:szCs w:val="28"/>
        </w:rPr>
        <w:t>B</w:t>
      </w:r>
      <w:r>
        <w:rPr>
          <w:rFonts w:hint="eastAsia" w:ascii="宋体" w:hAnsi="宋体" w:eastAsia="宋体" w:cs="宋体"/>
          <w:color w:val="auto"/>
          <w:szCs w:val="28"/>
        </w:rPr>
        <w:t>”的，属非否决项。</w:t>
      </w:r>
      <w:r>
        <w:rPr>
          <w:rFonts w:hint="eastAsia" w:ascii="宋体" w:hAnsi="宋体" w:eastAsia="宋体" w:cs="宋体"/>
          <w:color w:val="auto"/>
          <w:szCs w:val="28"/>
        </w:rPr>
        <w:br w:type="textWrapping"/>
      </w:r>
      <w:r>
        <w:rPr>
          <w:rFonts w:hint="eastAsia" w:ascii="宋体" w:hAnsi="宋体" w:eastAsia="宋体" w:cs="宋体"/>
          <w:color w:val="auto"/>
          <w:szCs w:val="28"/>
        </w:rPr>
        <w:t xml:space="preserve">    </w:t>
      </w:r>
      <w:r>
        <w:rPr>
          <w:rFonts w:hint="eastAsia" w:ascii="宋体" w:hAnsi="宋体" w:eastAsia="宋体" w:cs="宋体"/>
          <w:color w:val="auto"/>
          <w:szCs w:val="28"/>
        </w:rPr>
        <w:t>⒉符合安全要求的条件是：根据现场实际确定的检查项目，检查结果全部合格。</w:t>
      </w:r>
      <w:r>
        <w:rPr>
          <w:rFonts w:hint="eastAsia" w:ascii="宋体" w:hAnsi="宋体" w:eastAsia="宋体" w:cs="宋体"/>
          <w:color w:val="auto"/>
          <w:szCs w:val="28"/>
        </w:rPr>
        <w:br w:type="textWrapping"/>
      </w:r>
      <w:r>
        <w:rPr>
          <w:rFonts w:hint="eastAsia" w:ascii="宋体" w:hAnsi="宋体" w:eastAsia="宋体" w:cs="宋体"/>
          <w:color w:val="auto"/>
          <w:szCs w:val="28"/>
        </w:rPr>
        <w:t xml:space="preserve">    </w:t>
      </w:r>
      <w:r>
        <w:rPr>
          <w:rFonts w:hint="eastAsia" w:ascii="宋体" w:hAnsi="宋体" w:eastAsia="宋体" w:cs="宋体"/>
          <w:color w:val="auto"/>
          <w:szCs w:val="28"/>
        </w:rPr>
        <w:t>⒊基本符合安全要求的条件是：根据现场实际确定的检查项目中，非否决项的检查结果</w:t>
      </w:r>
      <w:r>
        <w:rPr>
          <w:rFonts w:hint="eastAsia" w:ascii="宋体" w:hAnsi="宋体" w:eastAsia="宋体" w:cs="宋体"/>
          <w:color w:val="auto"/>
          <w:szCs w:val="28"/>
        </w:rPr>
        <w:t>5</w:t>
      </w:r>
      <w:r>
        <w:rPr>
          <w:rFonts w:hint="eastAsia" w:ascii="宋体" w:hAnsi="宋体" w:eastAsia="宋体" w:cs="宋体"/>
          <w:color w:val="auto"/>
          <w:szCs w:val="28"/>
        </w:rPr>
        <w:t>项（含项）以内不合格，并且不超过实有非否决项总数的</w:t>
      </w:r>
      <w:r>
        <w:rPr>
          <w:rFonts w:hint="eastAsia" w:ascii="宋体" w:hAnsi="宋体" w:eastAsia="宋体" w:cs="宋体"/>
          <w:color w:val="auto"/>
          <w:szCs w:val="28"/>
        </w:rPr>
        <w:t>20%</w:t>
      </w:r>
      <w:r>
        <w:rPr>
          <w:rFonts w:hint="eastAsia" w:ascii="宋体" w:hAnsi="宋体" w:eastAsia="宋体" w:cs="宋体"/>
          <w:color w:val="auto"/>
          <w:szCs w:val="28"/>
        </w:rPr>
        <w:t>。</w:t>
      </w:r>
      <w:r>
        <w:rPr>
          <w:rFonts w:hint="eastAsia" w:ascii="宋体" w:hAnsi="宋体" w:eastAsia="宋体" w:cs="宋体"/>
          <w:color w:val="auto"/>
          <w:szCs w:val="28"/>
        </w:rPr>
        <w:br w:type="textWrapping"/>
      </w:r>
      <w:r>
        <w:rPr>
          <w:rFonts w:hint="eastAsia" w:ascii="宋体" w:hAnsi="宋体" w:eastAsia="宋体" w:cs="宋体"/>
          <w:color w:val="auto"/>
          <w:szCs w:val="28"/>
        </w:rPr>
        <w:t xml:space="preserve">    </w:t>
      </w:r>
      <w:r>
        <w:rPr>
          <w:rFonts w:hint="eastAsia" w:ascii="宋体" w:hAnsi="宋体" w:eastAsia="宋体" w:cs="宋体"/>
          <w:color w:val="auto"/>
          <w:szCs w:val="28"/>
        </w:rPr>
        <w:t>⒋不符合安全要求的条件是：根据现场实际确定的检查项目中，有</w:t>
      </w:r>
      <w:r>
        <w:rPr>
          <w:rFonts w:hint="eastAsia" w:ascii="宋体" w:hAnsi="宋体" w:eastAsia="宋体" w:cs="宋体"/>
          <w:color w:val="auto"/>
          <w:szCs w:val="28"/>
        </w:rPr>
        <w:t>1</w:t>
      </w:r>
      <w:r>
        <w:rPr>
          <w:rFonts w:hint="eastAsia" w:ascii="宋体" w:hAnsi="宋体" w:eastAsia="宋体" w:cs="宋体"/>
          <w:color w:val="auto"/>
          <w:szCs w:val="28"/>
        </w:rPr>
        <w:t>项决项不合格，或者非否决项的检查结果超过</w:t>
      </w:r>
      <w:r>
        <w:rPr>
          <w:rFonts w:hint="eastAsia" w:ascii="宋体" w:hAnsi="宋体" w:eastAsia="宋体" w:cs="宋体"/>
          <w:color w:val="auto"/>
          <w:szCs w:val="28"/>
        </w:rPr>
        <w:t>5</w:t>
      </w:r>
      <w:r>
        <w:rPr>
          <w:rFonts w:hint="eastAsia" w:ascii="宋体" w:hAnsi="宋体" w:eastAsia="宋体" w:cs="宋体"/>
          <w:color w:val="auto"/>
          <w:szCs w:val="28"/>
        </w:rPr>
        <w:t>项不合格，或者非否决项的检查结果未超过</w:t>
      </w:r>
      <w:r>
        <w:rPr>
          <w:rFonts w:hint="eastAsia" w:ascii="宋体" w:hAnsi="宋体" w:eastAsia="宋体" w:cs="宋体"/>
          <w:color w:val="auto"/>
          <w:szCs w:val="28"/>
        </w:rPr>
        <w:t>5</w:t>
      </w:r>
      <w:r>
        <w:rPr>
          <w:rFonts w:hint="eastAsia" w:ascii="宋体" w:hAnsi="宋体" w:eastAsia="宋体" w:cs="宋体"/>
          <w:color w:val="auto"/>
          <w:szCs w:val="28"/>
        </w:rPr>
        <w:t>项不合格、但超过实有非否决项总数的</w:t>
      </w:r>
      <w:r>
        <w:rPr>
          <w:rFonts w:hint="eastAsia" w:ascii="宋体" w:hAnsi="宋体" w:eastAsia="宋体" w:cs="宋体"/>
          <w:color w:val="auto"/>
          <w:szCs w:val="28"/>
        </w:rPr>
        <w:t>20%</w:t>
      </w:r>
      <w:r>
        <w:rPr>
          <w:rFonts w:hint="eastAsia" w:ascii="宋体" w:hAnsi="宋体" w:eastAsia="宋体" w:cs="宋体"/>
          <w:color w:val="auto"/>
          <w:szCs w:val="28"/>
        </w:rPr>
        <w:t>。</w:t>
      </w:r>
    </w:p>
    <w:p>
      <w:pPr>
        <w:pageBreakBefore w:val="0"/>
        <w:kinsoku/>
        <w:wordWrap/>
        <w:overflowPunct/>
        <w:topLinePunct w:val="0"/>
        <w:autoSpaceDE/>
        <w:autoSpaceDN/>
        <w:bidi w:val="0"/>
        <w:adjustRightInd/>
        <w:snapToGrid/>
        <w:spacing w:line="600" w:lineRule="exact"/>
        <w:ind w:firstLine="570"/>
        <w:textAlignment w:val="auto"/>
        <w:rPr>
          <w:rFonts w:hint="eastAsia" w:ascii="宋体" w:hAnsi="宋体" w:eastAsia="宋体" w:cs="宋体"/>
          <w:color w:val="auto"/>
          <w:szCs w:val="28"/>
        </w:rPr>
      </w:pPr>
      <w:r>
        <w:rPr>
          <w:rFonts w:hint="eastAsia" w:ascii="宋体" w:hAnsi="宋体" w:eastAsia="宋体" w:cs="宋体"/>
          <w:color w:val="auto"/>
          <w:szCs w:val="28"/>
        </w:rPr>
        <w:t>结论：根据检查表检查，实有检查项目</w:t>
      </w:r>
      <w:r>
        <w:rPr>
          <w:rFonts w:hint="eastAsia" w:ascii="宋体" w:hAnsi="宋体" w:eastAsia="宋体" w:cs="宋体"/>
          <w:color w:val="auto"/>
          <w:szCs w:val="28"/>
        </w:rPr>
        <w:t>全部符合要求，</w:t>
      </w:r>
      <w:r>
        <w:rPr>
          <w:rFonts w:hint="eastAsia" w:ascii="宋体" w:hAnsi="宋体" w:eastAsia="宋体" w:cs="宋体"/>
          <w:color w:val="auto"/>
          <w:szCs w:val="28"/>
        </w:rPr>
        <w:t>公司符合安全要求的条件。</w:t>
      </w:r>
    </w:p>
    <w:p>
      <w:pPr>
        <w:pageBreakBefore w:val="0"/>
        <w:kinsoku/>
        <w:wordWrap/>
        <w:overflowPunct/>
        <w:topLinePunct w:val="0"/>
        <w:autoSpaceDE/>
        <w:autoSpaceDN/>
        <w:bidi w:val="0"/>
        <w:adjustRightInd/>
        <w:snapToGrid/>
        <w:spacing w:line="600" w:lineRule="exact"/>
        <w:ind w:firstLine="600"/>
        <w:jc w:val="center"/>
        <w:textAlignment w:val="auto"/>
        <w:rPr>
          <w:rFonts w:hint="eastAsia" w:ascii="宋体" w:hAnsi="宋体" w:eastAsia="宋体" w:cs="宋体"/>
          <w:b/>
          <w:bCs/>
          <w:snapToGrid w:val="0"/>
          <w:color w:val="auto"/>
        </w:rPr>
      </w:pPr>
      <w:r>
        <w:rPr>
          <w:rFonts w:hint="eastAsia" w:ascii="宋体" w:hAnsi="宋体" w:eastAsia="宋体" w:cs="宋体"/>
          <w:b/>
          <w:bCs/>
          <w:color w:val="auto"/>
        </w:rPr>
        <w:t>危险</w:t>
      </w:r>
      <w:r>
        <w:rPr>
          <w:rFonts w:hint="eastAsia" w:ascii="宋体" w:hAnsi="宋体" w:eastAsia="宋体" w:cs="宋体"/>
          <w:b/>
          <w:bCs/>
          <w:snapToGrid w:val="0"/>
          <w:color w:val="auto"/>
        </w:rPr>
        <w:t>化学品经营单位安全评价现场检查表评价结论汇总表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1859"/>
        <w:gridCol w:w="1857"/>
        <w:gridCol w:w="1855"/>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vMerge w:val="restart"/>
            <w:tcBorders>
              <w:tl2br w:val="single" w:color="auto" w:sz="4" w:space="0"/>
            </w:tcBorders>
          </w:tcPr>
          <w:p>
            <w:pPr>
              <w:spacing w:line="24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   类别</w:t>
            </w:r>
          </w:p>
          <w:p>
            <w:pPr>
              <w:spacing w:line="24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结论</w:t>
            </w:r>
          </w:p>
        </w:tc>
        <w:tc>
          <w:tcPr>
            <w:tcW w:w="3716" w:type="dxa"/>
            <w:gridSpan w:val="2"/>
          </w:tcPr>
          <w:p>
            <w:pPr>
              <w:spacing w:line="24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A</w:t>
            </w:r>
            <w:r>
              <w:rPr>
                <w:rFonts w:hint="eastAsia" w:ascii="宋体" w:hAnsi="宋体" w:eastAsia="宋体" w:cs="宋体"/>
                <w:bCs/>
                <w:color w:val="auto"/>
                <w:sz w:val="21"/>
                <w:szCs w:val="21"/>
              </w:rPr>
              <w:t>项</w:t>
            </w:r>
          </w:p>
        </w:tc>
        <w:tc>
          <w:tcPr>
            <w:tcW w:w="3710" w:type="dxa"/>
            <w:gridSpan w:val="2"/>
          </w:tcPr>
          <w:p>
            <w:pPr>
              <w:spacing w:line="24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B项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vMerge w:val="continue"/>
          </w:tcPr>
          <w:p>
            <w:pPr>
              <w:spacing w:line="240" w:lineRule="exact"/>
              <w:jc w:val="center"/>
              <w:rPr>
                <w:rFonts w:hint="eastAsia" w:ascii="宋体" w:hAnsi="宋体" w:eastAsia="宋体" w:cs="宋体"/>
                <w:bCs/>
                <w:color w:val="auto"/>
                <w:sz w:val="21"/>
                <w:szCs w:val="21"/>
              </w:rPr>
            </w:pPr>
          </w:p>
        </w:tc>
        <w:tc>
          <w:tcPr>
            <w:tcW w:w="1859" w:type="dxa"/>
          </w:tcPr>
          <w:p>
            <w:pPr>
              <w:spacing w:line="24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合格</w:t>
            </w:r>
          </w:p>
        </w:tc>
        <w:tc>
          <w:tcPr>
            <w:tcW w:w="1857" w:type="dxa"/>
          </w:tcPr>
          <w:p>
            <w:pPr>
              <w:spacing w:line="24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不合格</w:t>
            </w:r>
          </w:p>
        </w:tc>
        <w:tc>
          <w:tcPr>
            <w:tcW w:w="1855" w:type="dxa"/>
          </w:tcPr>
          <w:p>
            <w:pPr>
              <w:spacing w:line="24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合格</w:t>
            </w:r>
          </w:p>
        </w:tc>
        <w:tc>
          <w:tcPr>
            <w:tcW w:w="1855" w:type="dxa"/>
          </w:tcPr>
          <w:p>
            <w:pPr>
              <w:spacing w:line="24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tcPr>
          <w:p>
            <w:pPr>
              <w:spacing w:line="24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合计</w:t>
            </w:r>
          </w:p>
        </w:tc>
        <w:tc>
          <w:tcPr>
            <w:tcW w:w="1859" w:type="dxa"/>
          </w:tcPr>
          <w:p>
            <w:pPr>
              <w:spacing w:line="24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9</w:t>
            </w:r>
          </w:p>
        </w:tc>
        <w:tc>
          <w:tcPr>
            <w:tcW w:w="1857" w:type="dxa"/>
          </w:tcPr>
          <w:p>
            <w:pPr>
              <w:spacing w:line="24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0</w:t>
            </w:r>
          </w:p>
        </w:tc>
        <w:tc>
          <w:tcPr>
            <w:tcW w:w="1855" w:type="dxa"/>
          </w:tcPr>
          <w:p>
            <w:pPr>
              <w:spacing w:line="24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3</w:t>
            </w:r>
          </w:p>
        </w:tc>
        <w:tc>
          <w:tcPr>
            <w:tcW w:w="1855" w:type="dxa"/>
          </w:tcPr>
          <w:p>
            <w:pPr>
              <w:spacing w:line="24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5"/>
          </w:tcPr>
          <w:p>
            <w:pPr>
              <w:spacing w:line="24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    根据该公司的实际情况及现场检查表的要求，共分为7个单元对该公司经营条件进行检查、分析，检查情况汇总如下：</w:t>
            </w:r>
          </w:p>
          <w:p>
            <w:pPr>
              <w:pStyle w:val="63"/>
              <w:numPr>
                <w:ilvl w:val="0"/>
                <w:numId w:val="4"/>
              </w:numPr>
              <w:spacing w:line="240" w:lineRule="exact"/>
              <w:ind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安全管理制度：安全管理责任制明确，建立了安全管理机构，制定了各项有毒、有害化学品的安全管理制度等内容的制度，安全检查制度，有岗位安全操作规程。</w:t>
            </w:r>
          </w:p>
          <w:p>
            <w:pPr>
              <w:pStyle w:val="63"/>
              <w:numPr>
                <w:ilvl w:val="0"/>
                <w:numId w:val="4"/>
              </w:numPr>
              <w:spacing w:line="240" w:lineRule="exact"/>
              <w:ind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安全管理组织：成立了安全管理小组，配备了安全管理员。</w:t>
            </w:r>
          </w:p>
          <w:p>
            <w:pPr>
              <w:pStyle w:val="63"/>
              <w:numPr>
                <w:ilvl w:val="0"/>
                <w:numId w:val="4"/>
              </w:numPr>
              <w:spacing w:line="240" w:lineRule="exact"/>
              <w:ind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从业人员要求：配备了安全管理人员及安全负责人，皆已取得相应证书，经过有关部门培训，具有一定的安全经营意识和安全管理知识。</w:t>
            </w:r>
          </w:p>
          <w:p>
            <w:pPr>
              <w:pStyle w:val="63"/>
              <w:spacing w:line="240" w:lineRule="exact"/>
              <w:ind w:left="1425"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按照现场检查表的内容对公司进行了现场检查、分析，实有检查项目共12项，其中A项9项，全部合格；B项3项，全部合格。</w:t>
            </w:r>
          </w:p>
        </w:tc>
      </w:tr>
    </w:tbl>
    <w:p>
      <w:pPr>
        <w:pageBreakBefore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rPr>
      </w:pPr>
      <w:r>
        <w:rPr>
          <w:rFonts w:hint="eastAsia" w:ascii="宋体" w:hAnsi="宋体" w:eastAsia="宋体" w:cs="宋体"/>
          <w:b/>
          <w:bCs/>
          <w:color w:val="auto"/>
          <w:sz w:val="24"/>
        </w:rPr>
        <w:t>结论：根据检查表检查，</w:t>
      </w:r>
      <w:r>
        <w:rPr>
          <w:rFonts w:hint="eastAsia" w:ascii="宋体" w:hAnsi="宋体" w:eastAsia="宋体" w:cs="宋体"/>
          <w:b/>
          <w:bCs/>
          <w:color w:val="auto"/>
          <w:sz w:val="24"/>
        </w:rPr>
        <w:t>实有检查项目共12项，其中A项9项，全部合格；B项3项，全部合格。</w:t>
      </w:r>
      <w:r>
        <w:rPr>
          <w:rFonts w:hint="eastAsia" w:ascii="宋体" w:hAnsi="宋体" w:eastAsia="宋体" w:cs="宋体"/>
          <w:b/>
          <w:bCs/>
          <w:color w:val="auto"/>
          <w:sz w:val="24"/>
        </w:rPr>
        <w:t>因此该公司目前经营情况基本符合危险化学品安全经营条件。</w:t>
      </w:r>
    </w:p>
    <w:p>
      <w:pPr>
        <w:pStyle w:val="7"/>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rPr>
      </w:pPr>
      <w:bookmarkStart w:id="503" w:name="_Toc16184"/>
      <w:bookmarkStart w:id="504" w:name="_Toc382290931"/>
      <w:bookmarkStart w:id="505" w:name="_Toc21451"/>
      <w:bookmarkStart w:id="506" w:name="_Toc32173"/>
      <w:bookmarkStart w:id="507" w:name="_Toc10158"/>
      <w:r>
        <w:rPr>
          <w:rFonts w:hint="eastAsia" w:ascii="宋体" w:hAnsi="宋体" w:eastAsia="宋体" w:cs="宋体"/>
          <w:color w:val="auto"/>
        </w:rPr>
        <w:t>6.2</w:t>
      </w:r>
      <w:r>
        <w:rPr>
          <w:rFonts w:hint="eastAsia" w:ascii="宋体" w:hAnsi="宋体" w:eastAsia="宋体" w:cs="宋体"/>
          <w:color w:val="auto"/>
        </w:rPr>
        <w:t>《危险化学品经营许可证管理办法》检查表</w:t>
      </w:r>
      <w:bookmarkEnd w:id="503"/>
      <w:bookmarkEnd w:id="504"/>
      <w:bookmarkEnd w:id="505"/>
      <w:bookmarkEnd w:id="506"/>
      <w:bookmarkEnd w:id="507"/>
    </w:p>
    <w:p>
      <w:pPr>
        <w:pStyle w:val="41"/>
        <w:pageBreakBefore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根据《危险化学品经营许可证管理办法》国家安全生产监督管理局令第55号的要求，危险化学品经营企业经营条件检查见表</w:t>
      </w:r>
      <w:r>
        <w:rPr>
          <w:rFonts w:hint="eastAsia" w:ascii="宋体" w:hAnsi="宋体" w:eastAsia="宋体" w:cs="宋体"/>
          <w:color w:val="auto"/>
          <w:szCs w:val="28"/>
        </w:rPr>
        <w:t>5</w:t>
      </w:r>
      <w:r>
        <w:rPr>
          <w:rFonts w:hint="eastAsia" w:ascii="宋体" w:hAnsi="宋体" w:eastAsia="宋体" w:cs="宋体"/>
          <w:color w:val="auto"/>
          <w:szCs w:val="28"/>
        </w:rPr>
        <w:t>-2。</w:t>
      </w:r>
    </w:p>
    <w:p>
      <w:pPr>
        <w:jc w:val="center"/>
        <w:rPr>
          <w:rFonts w:hint="eastAsia" w:ascii="宋体" w:hAnsi="宋体" w:eastAsia="宋体" w:cs="宋体"/>
          <w:b/>
          <w:bCs/>
          <w:color w:val="auto"/>
          <w:sz w:val="24"/>
        </w:rPr>
      </w:pPr>
      <w:r>
        <w:rPr>
          <w:rFonts w:hint="eastAsia" w:ascii="宋体" w:hAnsi="宋体" w:eastAsia="宋体" w:cs="宋体"/>
          <w:b/>
          <w:bCs/>
          <w:color w:val="auto"/>
          <w:sz w:val="24"/>
        </w:rPr>
        <w:t>表</w:t>
      </w:r>
      <w:r>
        <w:rPr>
          <w:rFonts w:hint="eastAsia" w:ascii="宋体" w:hAnsi="宋体" w:eastAsia="宋体" w:cs="宋体"/>
          <w:b/>
          <w:bCs/>
          <w:color w:val="auto"/>
          <w:sz w:val="24"/>
        </w:rPr>
        <w:t>5</w:t>
      </w:r>
      <w:r>
        <w:rPr>
          <w:rFonts w:hint="eastAsia" w:ascii="宋体" w:hAnsi="宋体" w:eastAsia="宋体" w:cs="宋体"/>
          <w:b/>
          <w:bCs/>
          <w:color w:val="auto"/>
          <w:sz w:val="24"/>
        </w:rPr>
        <w:t>-2  《危险化学品经营许可证管理办法》检查表</w:t>
      </w:r>
    </w:p>
    <w:tbl>
      <w:tblPr>
        <w:tblStyle w:val="28"/>
        <w:tblW w:w="4999" w:type="pct"/>
        <w:tblInd w:w="0" w:type="dxa"/>
        <w:tblLayout w:type="autofit"/>
        <w:tblCellMar>
          <w:top w:w="0" w:type="dxa"/>
          <w:left w:w="108" w:type="dxa"/>
          <w:bottom w:w="0" w:type="dxa"/>
          <w:right w:w="108" w:type="dxa"/>
        </w:tblCellMar>
      </w:tblPr>
      <w:tblGrid>
        <w:gridCol w:w="836"/>
        <w:gridCol w:w="912"/>
        <w:gridCol w:w="370"/>
        <w:gridCol w:w="4189"/>
        <w:gridCol w:w="1821"/>
        <w:gridCol w:w="1158"/>
      </w:tblGrid>
      <w:tr>
        <w:tblPrEx>
          <w:tblCellMar>
            <w:top w:w="0" w:type="dxa"/>
            <w:left w:w="108" w:type="dxa"/>
            <w:bottom w:w="0" w:type="dxa"/>
            <w:right w:w="108" w:type="dxa"/>
          </w:tblCellMar>
        </w:tblPrEx>
        <w:tc>
          <w:tcPr>
            <w:tcW w:w="450" w:type="pct"/>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 xml:space="preserve"> 序号</w:t>
            </w:r>
          </w:p>
        </w:tc>
        <w:tc>
          <w:tcPr>
            <w:tcW w:w="2944" w:type="pct"/>
            <w:gridSpan w:val="3"/>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评价内容</w:t>
            </w:r>
          </w:p>
        </w:tc>
        <w:tc>
          <w:tcPr>
            <w:tcW w:w="980"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检查对照情况</w:t>
            </w:r>
          </w:p>
        </w:tc>
        <w:tc>
          <w:tcPr>
            <w:tcW w:w="623"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评价结果</w:t>
            </w:r>
          </w:p>
        </w:tc>
      </w:tr>
      <w:tr>
        <w:tblPrEx>
          <w:tblCellMar>
            <w:top w:w="0" w:type="dxa"/>
            <w:left w:w="108" w:type="dxa"/>
            <w:bottom w:w="0" w:type="dxa"/>
            <w:right w:w="108" w:type="dxa"/>
          </w:tblCellMar>
        </w:tblPrEx>
        <w:tc>
          <w:tcPr>
            <w:tcW w:w="450" w:type="pct"/>
            <w:vMerge w:val="restart"/>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491" w:type="pct"/>
            <w:vMerge w:val="restart"/>
            <w:tcBorders>
              <w:left w:val="single" w:color="auto" w:sz="4" w:space="0"/>
              <w:right w:val="single" w:color="auto" w:sz="4" w:space="0"/>
            </w:tcBorders>
            <w:vAlign w:val="center"/>
          </w:tcPr>
          <w:p>
            <w:pPr>
              <w:widowControl/>
              <w:spacing w:line="24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具备下列基本条件</w:t>
            </w:r>
          </w:p>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spacing w:val="10"/>
                <w:kern w:val="0"/>
                <w:sz w:val="21"/>
                <w:szCs w:val="21"/>
              </w:rPr>
              <w:t>：</w:t>
            </w:r>
          </w:p>
        </w:tc>
        <w:tc>
          <w:tcPr>
            <w:tcW w:w="2453" w:type="pct"/>
            <w:gridSpan w:val="2"/>
            <w:tcBorders>
              <w:top w:val="single" w:color="000000" w:sz="4" w:space="0"/>
              <w:left w:val="single" w:color="auto" w:sz="4" w:space="0"/>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一）经营和储存场所、设施、建筑物符合《建筑设计防火规范》（GB50016）、《石油化工企业设计防火规范》（GB50160）、《汽车加油加气站设计与施工规范》（GB50156）、《石油库设计规范》（GB50074）等相关国家标准、行业标准的规定；</w:t>
            </w:r>
          </w:p>
        </w:tc>
        <w:tc>
          <w:tcPr>
            <w:tcW w:w="980" w:type="pct"/>
            <w:tcBorders>
              <w:top w:val="single" w:color="000000" w:sz="4" w:space="0"/>
              <w:left w:val="nil"/>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储存场所、设施所满足要求</w:t>
            </w:r>
          </w:p>
        </w:tc>
        <w:tc>
          <w:tcPr>
            <w:tcW w:w="623" w:type="pct"/>
            <w:tcBorders>
              <w:top w:val="single" w:color="000000" w:sz="4" w:space="0"/>
              <w:left w:val="nil"/>
              <w:bottom w:val="single" w:color="000000" w:sz="4" w:space="0"/>
              <w:right w:val="single" w:color="000000" w:sz="4" w:space="0"/>
            </w:tcBorders>
            <w:vAlign w:val="center"/>
          </w:tcPr>
          <w:p>
            <w:pPr>
              <w:widowControl/>
              <w:snapToGrid w:val="0"/>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合格</w:t>
            </w:r>
          </w:p>
        </w:tc>
      </w:tr>
      <w:tr>
        <w:tblPrEx>
          <w:tblCellMar>
            <w:top w:w="0" w:type="dxa"/>
            <w:left w:w="108" w:type="dxa"/>
            <w:bottom w:w="0" w:type="dxa"/>
            <w:right w:w="108" w:type="dxa"/>
          </w:tblCellMar>
        </w:tblPrEx>
        <w:tc>
          <w:tcPr>
            <w:tcW w:w="450" w:type="pct"/>
            <w:vMerge w:val="continue"/>
            <w:tcBorders>
              <w:left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21"/>
                <w:szCs w:val="21"/>
              </w:rPr>
            </w:pPr>
          </w:p>
        </w:tc>
        <w:tc>
          <w:tcPr>
            <w:tcW w:w="491" w:type="pct"/>
            <w:vMerge w:val="continue"/>
            <w:tcBorders>
              <w:left w:val="single" w:color="auto" w:sz="4" w:space="0"/>
              <w:right w:val="single" w:color="auto" w:sz="4" w:space="0"/>
            </w:tcBorders>
            <w:vAlign w:val="center"/>
          </w:tcPr>
          <w:p>
            <w:pPr>
              <w:widowControl/>
              <w:spacing w:line="240" w:lineRule="exact"/>
              <w:jc w:val="left"/>
              <w:rPr>
                <w:rFonts w:hint="eastAsia" w:ascii="宋体" w:hAnsi="宋体" w:eastAsia="宋体" w:cs="宋体"/>
                <w:color w:val="auto"/>
                <w:spacing w:val="10"/>
                <w:kern w:val="0"/>
                <w:sz w:val="21"/>
                <w:szCs w:val="21"/>
              </w:rPr>
            </w:pPr>
          </w:p>
        </w:tc>
        <w:tc>
          <w:tcPr>
            <w:tcW w:w="2453" w:type="pct"/>
            <w:gridSpan w:val="2"/>
            <w:tcBorders>
              <w:top w:val="single" w:color="000000" w:sz="4" w:space="0"/>
              <w:left w:val="single" w:color="auto" w:sz="4" w:space="0"/>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kern w:val="0"/>
                <w:sz w:val="21"/>
                <w:szCs w:val="21"/>
              </w:rPr>
              <w:t>（二）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w:t>
            </w:r>
          </w:p>
        </w:tc>
        <w:tc>
          <w:tcPr>
            <w:tcW w:w="980" w:type="pct"/>
            <w:tcBorders>
              <w:top w:val="single" w:color="000000" w:sz="4" w:space="0"/>
              <w:left w:val="nil"/>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sz w:val="21"/>
                <w:szCs w:val="21"/>
              </w:rPr>
              <w:t>主要负责人</w:t>
            </w:r>
            <w:r>
              <w:rPr>
                <w:rFonts w:hint="eastAsia" w:ascii="宋体" w:hAnsi="宋体" w:eastAsia="宋体" w:cs="宋体"/>
                <w:color w:val="auto"/>
                <w:sz w:val="21"/>
                <w:szCs w:val="21"/>
              </w:rPr>
              <w:t>、</w:t>
            </w:r>
            <w:r>
              <w:rPr>
                <w:rFonts w:hint="eastAsia" w:ascii="宋体" w:hAnsi="宋体" w:eastAsia="宋体" w:cs="宋体"/>
                <w:color w:val="auto"/>
                <w:kern w:val="0"/>
                <w:sz w:val="21"/>
                <w:szCs w:val="21"/>
              </w:rPr>
              <w:t>安全生产管理人员</w:t>
            </w:r>
            <w:r>
              <w:rPr>
                <w:rFonts w:hint="eastAsia" w:ascii="宋体" w:hAnsi="宋体" w:eastAsia="宋体" w:cs="宋体"/>
                <w:color w:val="auto"/>
                <w:kern w:val="0"/>
                <w:sz w:val="21"/>
                <w:szCs w:val="21"/>
              </w:rPr>
              <w:t>已取证</w:t>
            </w:r>
          </w:p>
        </w:tc>
        <w:tc>
          <w:tcPr>
            <w:tcW w:w="623" w:type="pct"/>
            <w:tcBorders>
              <w:top w:val="single" w:color="000000" w:sz="4" w:space="0"/>
              <w:left w:val="nil"/>
              <w:bottom w:val="single" w:color="000000" w:sz="4" w:space="0"/>
              <w:right w:val="single" w:color="000000" w:sz="4" w:space="0"/>
            </w:tcBorders>
            <w:vAlign w:val="center"/>
          </w:tcPr>
          <w:p>
            <w:pPr>
              <w:widowControl/>
              <w:snapToGrid w:val="0"/>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合格</w:t>
            </w:r>
          </w:p>
        </w:tc>
      </w:tr>
      <w:tr>
        <w:tblPrEx>
          <w:tblCellMar>
            <w:top w:w="0" w:type="dxa"/>
            <w:left w:w="108" w:type="dxa"/>
            <w:bottom w:w="0" w:type="dxa"/>
            <w:right w:w="108" w:type="dxa"/>
          </w:tblCellMar>
        </w:tblPrEx>
        <w:tc>
          <w:tcPr>
            <w:tcW w:w="450" w:type="pct"/>
            <w:vMerge w:val="continue"/>
            <w:tcBorders>
              <w:left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21"/>
                <w:szCs w:val="21"/>
              </w:rPr>
            </w:pPr>
          </w:p>
        </w:tc>
        <w:tc>
          <w:tcPr>
            <w:tcW w:w="491" w:type="pct"/>
            <w:vMerge w:val="continue"/>
            <w:tcBorders>
              <w:left w:val="single" w:color="auto" w:sz="4" w:space="0"/>
              <w:right w:val="single" w:color="auto" w:sz="4" w:space="0"/>
            </w:tcBorders>
            <w:vAlign w:val="center"/>
          </w:tcPr>
          <w:p>
            <w:pPr>
              <w:widowControl/>
              <w:spacing w:line="240" w:lineRule="exact"/>
              <w:jc w:val="left"/>
              <w:rPr>
                <w:rFonts w:hint="eastAsia" w:ascii="宋体" w:hAnsi="宋体" w:eastAsia="宋体" w:cs="宋体"/>
                <w:color w:val="auto"/>
                <w:spacing w:val="10"/>
                <w:kern w:val="0"/>
                <w:sz w:val="21"/>
                <w:szCs w:val="21"/>
              </w:rPr>
            </w:pPr>
          </w:p>
        </w:tc>
        <w:tc>
          <w:tcPr>
            <w:tcW w:w="2453" w:type="pct"/>
            <w:gridSpan w:val="2"/>
            <w:tcBorders>
              <w:top w:val="single" w:color="000000" w:sz="4" w:space="0"/>
              <w:left w:val="single" w:color="auto" w:sz="4" w:space="0"/>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（三）有健全的安全生产规章制度和岗位操作规程；</w:t>
            </w:r>
          </w:p>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kern w:val="0"/>
                <w:sz w:val="21"/>
                <w:szCs w:val="21"/>
              </w:rPr>
              <w:t>注：安全生产规章制度是指全员安全生产责任制度、危险化学品购销管理制度、危险化学品安全管理制度（包括防火、防爆、防中毒、防泄漏管理等内容）、安全投入保障制度、安全生产奖惩制度、安全生产教育培训制度、隐患排查治理制度、安全风险管理制度、应急管理制度、事故管理制度、职业卫生管理制度等。</w:t>
            </w:r>
          </w:p>
        </w:tc>
        <w:tc>
          <w:tcPr>
            <w:tcW w:w="980" w:type="pct"/>
            <w:tcBorders>
              <w:top w:val="single" w:color="000000" w:sz="4" w:space="0"/>
              <w:left w:val="nil"/>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spacing w:val="10"/>
                <w:kern w:val="0"/>
                <w:sz w:val="21"/>
                <w:szCs w:val="21"/>
              </w:rPr>
              <w:t>有相应的</w:t>
            </w:r>
            <w:r>
              <w:rPr>
                <w:rFonts w:hint="eastAsia" w:ascii="宋体" w:hAnsi="宋体" w:eastAsia="宋体" w:cs="宋体"/>
                <w:color w:val="auto"/>
                <w:kern w:val="0"/>
                <w:sz w:val="21"/>
                <w:szCs w:val="21"/>
              </w:rPr>
              <w:t>安全生产规章制度和岗位操作规程</w:t>
            </w:r>
          </w:p>
        </w:tc>
        <w:tc>
          <w:tcPr>
            <w:tcW w:w="623" w:type="pct"/>
            <w:tcBorders>
              <w:top w:val="single" w:color="000000" w:sz="4" w:space="0"/>
              <w:left w:val="nil"/>
              <w:bottom w:val="single" w:color="000000" w:sz="4" w:space="0"/>
              <w:right w:val="single" w:color="000000" w:sz="4" w:space="0"/>
            </w:tcBorders>
            <w:vAlign w:val="center"/>
          </w:tcPr>
          <w:p>
            <w:pPr>
              <w:widowControl/>
              <w:snapToGrid w:val="0"/>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符合要求</w:t>
            </w:r>
          </w:p>
        </w:tc>
      </w:tr>
      <w:tr>
        <w:tblPrEx>
          <w:tblCellMar>
            <w:top w:w="0" w:type="dxa"/>
            <w:left w:w="108" w:type="dxa"/>
            <w:bottom w:w="0" w:type="dxa"/>
            <w:right w:w="108" w:type="dxa"/>
          </w:tblCellMar>
        </w:tblPrEx>
        <w:tc>
          <w:tcPr>
            <w:tcW w:w="450" w:type="pct"/>
            <w:vMerge w:val="continue"/>
            <w:tcBorders>
              <w:left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21"/>
                <w:szCs w:val="21"/>
              </w:rPr>
            </w:pPr>
          </w:p>
        </w:tc>
        <w:tc>
          <w:tcPr>
            <w:tcW w:w="491" w:type="pct"/>
            <w:vMerge w:val="continue"/>
            <w:tcBorders>
              <w:left w:val="single" w:color="auto" w:sz="4" w:space="0"/>
              <w:right w:val="single" w:color="auto" w:sz="4" w:space="0"/>
            </w:tcBorders>
            <w:vAlign w:val="center"/>
          </w:tcPr>
          <w:p>
            <w:pPr>
              <w:widowControl/>
              <w:spacing w:line="240" w:lineRule="exact"/>
              <w:jc w:val="left"/>
              <w:rPr>
                <w:rFonts w:hint="eastAsia" w:ascii="宋体" w:hAnsi="宋体" w:eastAsia="宋体" w:cs="宋体"/>
                <w:color w:val="auto"/>
                <w:spacing w:val="10"/>
                <w:kern w:val="0"/>
                <w:sz w:val="21"/>
                <w:szCs w:val="21"/>
              </w:rPr>
            </w:pPr>
          </w:p>
        </w:tc>
        <w:tc>
          <w:tcPr>
            <w:tcW w:w="2453" w:type="pct"/>
            <w:gridSpan w:val="2"/>
            <w:tcBorders>
              <w:top w:val="single" w:color="000000" w:sz="4" w:space="0"/>
              <w:left w:val="single" w:color="auto" w:sz="4" w:space="0"/>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（四）有符合国家规定的危险化学品事故应急预案，并配备必要的应急救援器材、设备；</w:t>
            </w:r>
          </w:p>
        </w:tc>
        <w:tc>
          <w:tcPr>
            <w:tcW w:w="980" w:type="pct"/>
            <w:tcBorders>
              <w:top w:val="single" w:color="000000" w:sz="4" w:space="0"/>
              <w:left w:val="nil"/>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spacing w:val="10"/>
                <w:kern w:val="0"/>
                <w:sz w:val="21"/>
                <w:szCs w:val="21"/>
              </w:rPr>
              <w:t>有《预案》，配备应急器材</w:t>
            </w:r>
          </w:p>
        </w:tc>
        <w:tc>
          <w:tcPr>
            <w:tcW w:w="623" w:type="pct"/>
            <w:tcBorders>
              <w:top w:val="single" w:color="000000" w:sz="4" w:space="0"/>
              <w:left w:val="nil"/>
              <w:bottom w:val="single" w:color="000000" w:sz="4" w:space="0"/>
              <w:right w:val="single" w:color="000000"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合格</w:t>
            </w:r>
          </w:p>
        </w:tc>
      </w:tr>
      <w:tr>
        <w:tblPrEx>
          <w:tblCellMar>
            <w:top w:w="0" w:type="dxa"/>
            <w:left w:w="108" w:type="dxa"/>
            <w:bottom w:w="0" w:type="dxa"/>
            <w:right w:w="108" w:type="dxa"/>
          </w:tblCellMar>
        </w:tblPrEx>
        <w:tc>
          <w:tcPr>
            <w:tcW w:w="450" w:type="pct"/>
            <w:vMerge w:val="continue"/>
            <w:tcBorders>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21"/>
                <w:szCs w:val="21"/>
              </w:rPr>
            </w:pPr>
          </w:p>
        </w:tc>
        <w:tc>
          <w:tcPr>
            <w:tcW w:w="491" w:type="pct"/>
            <w:vMerge w:val="continue"/>
            <w:tcBorders>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spacing w:val="10"/>
                <w:kern w:val="0"/>
                <w:sz w:val="21"/>
                <w:szCs w:val="21"/>
              </w:rPr>
            </w:pPr>
          </w:p>
        </w:tc>
        <w:tc>
          <w:tcPr>
            <w:tcW w:w="2453" w:type="pct"/>
            <w:gridSpan w:val="2"/>
            <w:tcBorders>
              <w:top w:val="single" w:color="000000" w:sz="4" w:space="0"/>
              <w:left w:val="single" w:color="auto" w:sz="4" w:space="0"/>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kern w:val="0"/>
                <w:sz w:val="21"/>
                <w:szCs w:val="21"/>
              </w:rPr>
              <w:t>（五）法律、法规和国家标准或者行业标准规定的其他安全生产条件。</w:t>
            </w:r>
          </w:p>
        </w:tc>
        <w:tc>
          <w:tcPr>
            <w:tcW w:w="980" w:type="pct"/>
            <w:tcBorders>
              <w:top w:val="single" w:color="000000" w:sz="4" w:space="0"/>
              <w:left w:val="nil"/>
              <w:bottom w:val="single" w:color="000000" w:sz="4" w:space="0"/>
              <w:right w:val="single" w:color="000000" w:sz="4" w:space="0"/>
            </w:tcBorders>
            <w:vAlign w:val="center"/>
          </w:tcPr>
          <w:p>
            <w:pPr>
              <w:widowControl/>
              <w:snapToGrid w:val="0"/>
              <w:spacing w:line="240" w:lineRule="exact"/>
              <w:jc w:val="center"/>
              <w:rPr>
                <w:rFonts w:hint="eastAsia" w:ascii="宋体" w:hAnsi="宋体" w:eastAsia="宋体" w:cs="宋体"/>
                <w:color w:val="auto"/>
                <w:spacing w:val="10"/>
                <w:kern w:val="0"/>
                <w:sz w:val="21"/>
                <w:szCs w:val="21"/>
              </w:rPr>
            </w:pPr>
            <w:r>
              <w:rPr>
                <w:rFonts w:hint="eastAsia" w:ascii="宋体" w:hAnsi="宋体" w:eastAsia="宋体" w:cs="宋体"/>
                <w:color w:val="auto"/>
                <w:spacing w:val="10"/>
                <w:kern w:val="0"/>
                <w:sz w:val="21"/>
                <w:szCs w:val="21"/>
              </w:rPr>
              <w:t>符合要求</w:t>
            </w:r>
          </w:p>
        </w:tc>
        <w:tc>
          <w:tcPr>
            <w:tcW w:w="623" w:type="pct"/>
            <w:tcBorders>
              <w:top w:val="single" w:color="000000" w:sz="4" w:space="0"/>
              <w:left w:val="nil"/>
              <w:bottom w:val="single" w:color="000000" w:sz="4" w:space="0"/>
              <w:right w:val="single" w:color="000000"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合格</w:t>
            </w:r>
          </w:p>
        </w:tc>
      </w:tr>
      <w:tr>
        <w:tblPrEx>
          <w:tblCellMar>
            <w:top w:w="0" w:type="dxa"/>
            <w:left w:w="108" w:type="dxa"/>
            <w:bottom w:w="0" w:type="dxa"/>
            <w:right w:w="108" w:type="dxa"/>
          </w:tblCellMar>
        </w:tblPrEx>
        <w:tc>
          <w:tcPr>
            <w:tcW w:w="45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2944" w:type="pct"/>
            <w:gridSpan w:val="3"/>
            <w:tcBorders>
              <w:top w:val="single" w:color="000000" w:sz="4" w:space="0"/>
              <w:left w:val="nil"/>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kern w:val="0"/>
                <w:sz w:val="21"/>
                <w:szCs w:val="21"/>
              </w:rPr>
              <w:t>申请人经营剧毒化学品的，除符合本办法第六条规定的条件外，还应当建立剧毒化学品双人验收、双人保管、双人发货、双把锁、双本账等管理制度。</w:t>
            </w:r>
          </w:p>
        </w:tc>
        <w:tc>
          <w:tcPr>
            <w:tcW w:w="980"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无</w:t>
            </w:r>
            <w:r>
              <w:rPr>
                <w:rFonts w:hint="eastAsia" w:ascii="宋体" w:hAnsi="宋体" w:eastAsia="宋体" w:cs="宋体"/>
                <w:color w:val="auto"/>
                <w:kern w:val="0"/>
                <w:sz w:val="21"/>
                <w:szCs w:val="21"/>
              </w:rPr>
              <w:t>剧毒化学品</w:t>
            </w:r>
          </w:p>
        </w:tc>
        <w:tc>
          <w:tcPr>
            <w:tcW w:w="623"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合格</w:t>
            </w:r>
          </w:p>
        </w:tc>
      </w:tr>
      <w:tr>
        <w:tblPrEx>
          <w:tblCellMar>
            <w:top w:w="0" w:type="dxa"/>
            <w:left w:w="108" w:type="dxa"/>
            <w:bottom w:w="0" w:type="dxa"/>
            <w:right w:w="108" w:type="dxa"/>
          </w:tblCellMar>
        </w:tblPrEx>
        <w:tc>
          <w:tcPr>
            <w:tcW w:w="450" w:type="pct"/>
            <w:vMerge w:val="restart"/>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690" w:type="pct"/>
            <w:gridSpan w:val="2"/>
            <w:vMerge w:val="restart"/>
            <w:tcBorders>
              <w:left w:val="single" w:color="auto" w:sz="4" w:space="0"/>
              <w:right w:val="single" w:color="auto" w:sz="4" w:space="0"/>
            </w:tcBorders>
            <w:vAlign w:val="center"/>
          </w:tcPr>
          <w:p>
            <w:pPr>
              <w:widowControl/>
              <w:spacing w:line="24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申请人带有储存设施危险化学品经营的，除符合本办法第六条规定的条件外，还应当具备下列条件</w:t>
            </w:r>
          </w:p>
          <w:p>
            <w:pPr>
              <w:widowControl/>
              <w:snapToGrid w:val="0"/>
              <w:spacing w:line="240" w:lineRule="exact"/>
              <w:rPr>
                <w:rFonts w:hint="eastAsia" w:ascii="宋体" w:hAnsi="宋体" w:eastAsia="宋体" w:cs="宋体"/>
                <w:color w:val="auto"/>
                <w:spacing w:val="10"/>
                <w:kern w:val="0"/>
                <w:sz w:val="21"/>
                <w:szCs w:val="21"/>
              </w:rPr>
            </w:pPr>
          </w:p>
        </w:tc>
        <w:tc>
          <w:tcPr>
            <w:tcW w:w="2254" w:type="pct"/>
            <w:tcBorders>
              <w:top w:val="single" w:color="000000" w:sz="4" w:space="0"/>
              <w:left w:val="single" w:color="auto" w:sz="4" w:space="0"/>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kern w:val="0"/>
                <w:sz w:val="21"/>
                <w:szCs w:val="21"/>
              </w:rPr>
              <w:t>（一）新设立的专门从事危险化学品仓储经营的，其储存设施建立在地方人民政府规划的用于危险化学品储存的专门区域内；</w:t>
            </w:r>
          </w:p>
        </w:tc>
        <w:tc>
          <w:tcPr>
            <w:tcW w:w="980"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未专门从事</w:t>
            </w:r>
            <w:r>
              <w:rPr>
                <w:rFonts w:hint="eastAsia" w:ascii="宋体" w:hAnsi="宋体" w:eastAsia="宋体" w:cs="宋体"/>
                <w:color w:val="auto"/>
                <w:kern w:val="0"/>
                <w:sz w:val="21"/>
                <w:szCs w:val="21"/>
              </w:rPr>
              <w:t>危险化学品仓储经营</w:t>
            </w:r>
          </w:p>
        </w:tc>
        <w:tc>
          <w:tcPr>
            <w:tcW w:w="623"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合格</w:t>
            </w:r>
          </w:p>
        </w:tc>
      </w:tr>
      <w:tr>
        <w:tblPrEx>
          <w:tblCellMar>
            <w:top w:w="0" w:type="dxa"/>
            <w:left w:w="108" w:type="dxa"/>
            <w:bottom w:w="0" w:type="dxa"/>
            <w:right w:w="108" w:type="dxa"/>
          </w:tblCellMar>
        </w:tblPrEx>
        <w:tc>
          <w:tcPr>
            <w:tcW w:w="450" w:type="pct"/>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21"/>
                <w:szCs w:val="21"/>
              </w:rPr>
            </w:pPr>
          </w:p>
        </w:tc>
        <w:tc>
          <w:tcPr>
            <w:tcW w:w="690" w:type="pct"/>
            <w:gridSpan w:val="2"/>
            <w:vMerge w:val="continue"/>
            <w:tcBorders>
              <w:left w:val="single" w:color="auto" w:sz="4" w:space="0"/>
              <w:right w:val="single" w:color="auto" w:sz="4" w:space="0"/>
            </w:tcBorders>
            <w:vAlign w:val="center"/>
          </w:tcPr>
          <w:p>
            <w:pPr>
              <w:widowControl/>
              <w:spacing w:line="240" w:lineRule="exact"/>
              <w:rPr>
                <w:rFonts w:hint="eastAsia" w:ascii="宋体" w:hAnsi="宋体" w:eastAsia="宋体" w:cs="宋体"/>
                <w:color w:val="auto"/>
                <w:kern w:val="0"/>
                <w:sz w:val="21"/>
                <w:szCs w:val="21"/>
              </w:rPr>
            </w:pPr>
          </w:p>
        </w:tc>
        <w:tc>
          <w:tcPr>
            <w:tcW w:w="2254" w:type="pct"/>
            <w:tcBorders>
              <w:top w:val="single" w:color="000000" w:sz="4" w:space="0"/>
              <w:left w:val="single" w:color="auto" w:sz="4" w:space="0"/>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kern w:val="0"/>
                <w:sz w:val="21"/>
                <w:szCs w:val="21"/>
              </w:rPr>
              <w:t>（二）储存设施与相关场所、设施、区域的距离符合有关法律、法规、规章和标准的规定；</w:t>
            </w:r>
          </w:p>
        </w:tc>
        <w:tc>
          <w:tcPr>
            <w:tcW w:w="980"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距离符合要求</w:t>
            </w:r>
          </w:p>
        </w:tc>
        <w:tc>
          <w:tcPr>
            <w:tcW w:w="623"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合格</w:t>
            </w:r>
          </w:p>
        </w:tc>
      </w:tr>
      <w:tr>
        <w:tblPrEx>
          <w:tblCellMar>
            <w:top w:w="0" w:type="dxa"/>
            <w:left w:w="108" w:type="dxa"/>
            <w:bottom w:w="0" w:type="dxa"/>
            <w:right w:w="108" w:type="dxa"/>
          </w:tblCellMar>
        </w:tblPrEx>
        <w:tc>
          <w:tcPr>
            <w:tcW w:w="450" w:type="pct"/>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21"/>
                <w:szCs w:val="21"/>
              </w:rPr>
            </w:pPr>
          </w:p>
        </w:tc>
        <w:tc>
          <w:tcPr>
            <w:tcW w:w="690" w:type="pct"/>
            <w:gridSpan w:val="2"/>
            <w:vMerge w:val="continue"/>
            <w:tcBorders>
              <w:left w:val="single" w:color="auto" w:sz="4" w:space="0"/>
              <w:right w:val="single" w:color="auto" w:sz="4" w:space="0"/>
            </w:tcBorders>
            <w:vAlign w:val="center"/>
          </w:tcPr>
          <w:p>
            <w:pPr>
              <w:widowControl/>
              <w:spacing w:line="240" w:lineRule="exact"/>
              <w:rPr>
                <w:rFonts w:hint="eastAsia" w:ascii="宋体" w:hAnsi="宋体" w:eastAsia="宋体" w:cs="宋体"/>
                <w:color w:val="auto"/>
                <w:kern w:val="0"/>
                <w:sz w:val="21"/>
                <w:szCs w:val="21"/>
              </w:rPr>
            </w:pPr>
          </w:p>
        </w:tc>
        <w:tc>
          <w:tcPr>
            <w:tcW w:w="2254" w:type="pct"/>
            <w:tcBorders>
              <w:top w:val="single" w:color="000000" w:sz="4" w:space="0"/>
              <w:left w:val="single" w:color="auto" w:sz="4" w:space="0"/>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kern w:val="0"/>
                <w:sz w:val="21"/>
                <w:szCs w:val="21"/>
              </w:rPr>
              <w:t>（三）依照有关规定进行安全评价；</w:t>
            </w:r>
          </w:p>
        </w:tc>
        <w:tc>
          <w:tcPr>
            <w:tcW w:w="980"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正在进行安全评价</w:t>
            </w:r>
          </w:p>
        </w:tc>
        <w:tc>
          <w:tcPr>
            <w:tcW w:w="623"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合格</w:t>
            </w:r>
          </w:p>
        </w:tc>
      </w:tr>
      <w:tr>
        <w:tblPrEx>
          <w:tblCellMar>
            <w:top w:w="0" w:type="dxa"/>
            <w:left w:w="108" w:type="dxa"/>
            <w:bottom w:w="0" w:type="dxa"/>
            <w:right w:w="108" w:type="dxa"/>
          </w:tblCellMar>
        </w:tblPrEx>
        <w:tc>
          <w:tcPr>
            <w:tcW w:w="450" w:type="pct"/>
            <w:vMerge w:val="continue"/>
            <w:tcBorders>
              <w:left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21"/>
                <w:szCs w:val="21"/>
              </w:rPr>
            </w:pPr>
          </w:p>
        </w:tc>
        <w:tc>
          <w:tcPr>
            <w:tcW w:w="690" w:type="pct"/>
            <w:gridSpan w:val="2"/>
            <w:vMerge w:val="continue"/>
            <w:tcBorders>
              <w:left w:val="single" w:color="auto" w:sz="4" w:space="0"/>
              <w:right w:val="single" w:color="auto" w:sz="4" w:space="0"/>
            </w:tcBorders>
            <w:vAlign w:val="center"/>
          </w:tcPr>
          <w:p>
            <w:pPr>
              <w:widowControl/>
              <w:spacing w:line="240" w:lineRule="exact"/>
              <w:jc w:val="left"/>
              <w:rPr>
                <w:rFonts w:hint="eastAsia" w:ascii="宋体" w:hAnsi="宋体" w:eastAsia="宋体" w:cs="宋体"/>
                <w:color w:val="auto"/>
                <w:spacing w:val="10"/>
                <w:kern w:val="0"/>
                <w:sz w:val="21"/>
                <w:szCs w:val="21"/>
              </w:rPr>
            </w:pPr>
          </w:p>
        </w:tc>
        <w:tc>
          <w:tcPr>
            <w:tcW w:w="2254" w:type="pct"/>
            <w:tcBorders>
              <w:top w:val="single" w:color="000000" w:sz="4" w:space="0"/>
              <w:left w:val="single" w:color="auto" w:sz="4" w:space="0"/>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kern w:val="0"/>
                <w:sz w:val="21"/>
                <w:szCs w:val="21"/>
              </w:rPr>
              <w:t>（四）专职安全生产管理人员具备国民教育化工化学类或者安全工程类中等职业教育以上学历，或者化工化学类中级以上专业技术职称，或者危险物品安全类注册安全工程师资格；</w:t>
            </w:r>
          </w:p>
        </w:tc>
        <w:tc>
          <w:tcPr>
            <w:tcW w:w="980"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专职安全生产管理人员</w:t>
            </w:r>
            <w:r>
              <w:rPr>
                <w:rFonts w:hint="eastAsia" w:ascii="宋体" w:hAnsi="宋体" w:eastAsia="宋体" w:cs="宋体"/>
                <w:color w:val="auto"/>
                <w:kern w:val="0"/>
                <w:sz w:val="21"/>
                <w:szCs w:val="21"/>
                <w:lang w:eastAsia="zh-CN"/>
              </w:rPr>
              <w:t>钟雪松应用化学专业专科毕业、吴生龙电气工程及其自动化毕业。</w:t>
            </w:r>
          </w:p>
        </w:tc>
        <w:tc>
          <w:tcPr>
            <w:tcW w:w="623"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合格</w:t>
            </w:r>
          </w:p>
        </w:tc>
      </w:tr>
      <w:tr>
        <w:tblPrEx>
          <w:tblCellMar>
            <w:top w:w="0" w:type="dxa"/>
            <w:left w:w="108" w:type="dxa"/>
            <w:bottom w:w="0" w:type="dxa"/>
            <w:right w:w="108" w:type="dxa"/>
          </w:tblCellMar>
        </w:tblPrEx>
        <w:tc>
          <w:tcPr>
            <w:tcW w:w="450" w:type="pct"/>
            <w:vMerge w:val="continue"/>
            <w:tcBorders>
              <w:left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21"/>
                <w:szCs w:val="21"/>
              </w:rPr>
            </w:pPr>
          </w:p>
        </w:tc>
        <w:tc>
          <w:tcPr>
            <w:tcW w:w="690" w:type="pct"/>
            <w:gridSpan w:val="2"/>
            <w:vMerge w:val="continue"/>
            <w:tcBorders>
              <w:left w:val="single" w:color="auto" w:sz="4" w:space="0"/>
              <w:right w:val="single" w:color="auto" w:sz="4" w:space="0"/>
            </w:tcBorders>
            <w:vAlign w:val="center"/>
          </w:tcPr>
          <w:p>
            <w:pPr>
              <w:widowControl/>
              <w:spacing w:line="240" w:lineRule="exact"/>
              <w:jc w:val="left"/>
              <w:rPr>
                <w:rFonts w:hint="eastAsia" w:ascii="宋体" w:hAnsi="宋体" w:eastAsia="宋体" w:cs="宋体"/>
                <w:color w:val="auto"/>
                <w:spacing w:val="10"/>
                <w:kern w:val="0"/>
                <w:sz w:val="21"/>
                <w:szCs w:val="21"/>
              </w:rPr>
            </w:pPr>
          </w:p>
        </w:tc>
        <w:tc>
          <w:tcPr>
            <w:tcW w:w="2254" w:type="pct"/>
            <w:tcBorders>
              <w:top w:val="single" w:color="000000" w:sz="4" w:space="0"/>
              <w:left w:val="single" w:color="auto" w:sz="4" w:space="0"/>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kern w:val="0"/>
                <w:sz w:val="21"/>
                <w:szCs w:val="21"/>
              </w:rPr>
              <w:t>（五）符合《危险化学品安全管理条例》、《危险化学品重大危险源监督管理暂行规定》、《常用危险化学品贮存通则》（GB15603）的相关规定。</w:t>
            </w:r>
          </w:p>
        </w:tc>
        <w:tc>
          <w:tcPr>
            <w:tcW w:w="980"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符合</w:t>
            </w:r>
          </w:p>
        </w:tc>
        <w:tc>
          <w:tcPr>
            <w:tcW w:w="623"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合格</w:t>
            </w:r>
          </w:p>
        </w:tc>
      </w:tr>
      <w:tr>
        <w:tblPrEx>
          <w:tblCellMar>
            <w:top w:w="0" w:type="dxa"/>
            <w:left w:w="108" w:type="dxa"/>
            <w:bottom w:w="0" w:type="dxa"/>
            <w:right w:w="108" w:type="dxa"/>
          </w:tblCellMar>
        </w:tblPrEx>
        <w:tc>
          <w:tcPr>
            <w:tcW w:w="45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2944" w:type="pct"/>
            <w:gridSpan w:val="3"/>
            <w:tcBorders>
              <w:top w:val="single" w:color="000000" w:sz="4" w:space="0"/>
              <w:left w:val="nil"/>
              <w:bottom w:val="single" w:color="000000" w:sz="4" w:space="0"/>
              <w:right w:val="single" w:color="000000" w:sz="4" w:space="0"/>
            </w:tcBorders>
            <w:vAlign w:val="center"/>
          </w:tcPr>
          <w:p>
            <w:pPr>
              <w:widowControl/>
              <w:snapToGrid w:val="0"/>
              <w:spacing w:line="240" w:lineRule="exact"/>
              <w:rPr>
                <w:rFonts w:hint="eastAsia" w:ascii="宋体" w:hAnsi="宋体" w:eastAsia="宋体" w:cs="宋体"/>
                <w:color w:val="auto"/>
                <w:spacing w:val="10"/>
                <w:kern w:val="0"/>
                <w:sz w:val="21"/>
                <w:szCs w:val="21"/>
              </w:rPr>
            </w:pPr>
            <w:r>
              <w:rPr>
                <w:rFonts w:hint="eastAsia" w:ascii="宋体" w:hAnsi="宋体" w:eastAsia="宋体" w:cs="宋体"/>
                <w:color w:val="auto"/>
                <w:kern w:val="0"/>
                <w:sz w:val="21"/>
                <w:szCs w:val="21"/>
              </w:rPr>
              <w:t>申请人储存易燃、易爆、有毒、易扩散危险化学品的，除符合第1条第一款规定的条件外，还应当符合《石油化工可燃气体和有毒气体检测报警设计规范》（GB50493）的规定。</w:t>
            </w:r>
          </w:p>
        </w:tc>
        <w:tc>
          <w:tcPr>
            <w:tcW w:w="980"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符合</w:t>
            </w:r>
          </w:p>
        </w:tc>
        <w:tc>
          <w:tcPr>
            <w:tcW w:w="623" w:type="pct"/>
            <w:tcBorders>
              <w:top w:val="single" w:color="000000" w:sz="4" w:space="0"/>
              <w:left w:val="nil"/>
              <w:bottom w:val="single" w:color="000000" w:sz="4" w:space="0"/>
              <w:right w:val="single" w:color="000000" w:sz="4" w:space="0"/>
            </w:tcBorders>
            <w:vAlign w:val="center"/>
          </w:tcPr>
          <w:p>
            <w:pPr>
              <w:widowControl/>
              <w:spacing w:line="2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合格</w:t>
            </w:r>
          </w:p>
        </w:tc>
      </w:tr>
    </w:tbl>
    <w:p>
      <w:pPr>
        <w:pageBreakBefore w:val="0"/>
        <w:widowControl/>
        <w:kinsoku/>
        <w:wordWrap/>
        <w:overflowPunct/>
        <w:topLinePunct w:val="0"/>
        <w:autoSpaceDE/>
        <w:autoSpaceDN/>
        <w:bidi w:val="0"/>
        <w:snapToGrid w:val="0"/>
        <w:spacing w:line="600" w:lineRule="exact"/>
        <w:ind w:firstLine="420"/>
        <w:textAlignment w:val="auto"/>
        <w:rPr>
          <w:rFonts w:hint="eastAsia" w:ascii="宋体" w:hAnsi="宋体" w:eastAsia="宋体" w:cs="宋体"/>
          <w:b/>
          <w:bCs/>
          <w:color w:val="auto"/>
          <w:kern w:val="0"/>
          <w:sz w:val="24"/>
        </w:rPr>
      </w:pPr>
      <w:r>
        <w:rPr>
          <w:rFonts w:hint="eastAsia" w:ascii="宋体" w:hAnsi="宋体" w:eastAsia="宋体" w:cs="宋体"/>
          <w:b/>
          <w:bCs/>
          <w:color w:val="auto"/>
          <w:kern w:val="0"/>
          <w:sz w:val="24"/>
        </w:rPr>
        <w:t>检查结果：根据《危险化学品经营许可证管理办法》（国家安全生产监督管理总局令第55号），我们对该单位的经营条件逐一进行了检查，</w:t>
      </w:r>
      <w:r>
        <w:rPr>
          <w:rFonts w:hint="eastAsia" w:ascii="宋体" w:hAnsi="宋体" w:eastAsia="宋体" w:cs="宋体"/>
          <w:b/>
          <w:bCs/>
          <w:color w:val="auto"/>
          <w:kern w:val="0"/>
          <w:sz w:val="24"/>
        </w:rPr>
        <w:t>全部</w:t>
      </w:r>
      <w:r>
        <w:rPr>
          <w:rFonts w:hint="eastAsia" w:ascii="宋体" w:hAnsi="宋体" w:eastAsia="宋体" w:cs="宋体"/>
          <w:b/>
          <w:bCs/>
          <w:color w:val="auto"/>
          <w:kern w:val="0"/>
          <w:sz w:val="24"/>
        </w:rPr>
        <w:t>符合危险化学品经营许可条件。</w:t>
      </w:r>
    </w:p>
    <w:p>
      <w:pPr>
        <w:pageBreakBefore w:val="0"/>
        <w:widowControl/>
        <w:kinsoku/>
        <w:wordWrap/>
        <w:overflowPunct/>
        <w:topLinePunct w:val="0"/>
        <w:autoSpaceDE/>
        <w:autoSpaceDN/>
        <w:bidi w:val="0"/>
        <w:snapToGrid w:val="0"/>
        <w:spacing w:line="600" w:lineRule="exact"/>
        <w:ind w:firstLine="420"/>
        <w:textAlignment w:val="auto"/>
        <w:rPr>
          <w:rFonts w:hint="eastAsia" w:ascii="宋体" w:hAnsi="宋体" w:eastAsia="宋体" w:cs="宋体"/>
          <w:color w:val="auto"/>
          <w:kern w:val="0"/>
          <w:sz w:val="24"/>
        </w:rPr>
        <w:sectPr>
          <w:headerReference r:id="rId11" w:type="default"/>
          <w:footerReference r:id="rId12" w:type="default"/>
          <w:pgSz w:w="11906" w:h="16838"/>
          <w:pgMar w:top="1417" w:right="1417" w:bottom="1417" w:left="1417" w:header="850" w:footer="992" w:gutter="0"/>
          <w:pgNumType w:fmt="decimal"/>
          <w:cols w:space="720" w:num="1"/>
          <w:docGrid w:type="linesAndChars" w:linePitch="312" w:charSpace="0"/>
        </w:sectPr>
      </w:pPr>
    </w:p>
    <w:p>
      <w:pPr>
        <w:pStyle w:val="6"/>
        <w:pageBreakBefore w:val="0"/>
        <w:kinsoku/>
        <w:wordWrap/>
        <w:overflowPunct/>
        <w:topLinePunct w:val="0"/>
        <w:autoSpaceDE/>
        <w:autoSpaceDN/>
        <w:bidi w:val="0"/>
        <w:spacing w:line="600" w:lineRule="exact"/>
        <w:textAlignment w:val="auto"/>
        <w:rPr>
          <w:rFonts w:hint="eastAsia" w:ascii="宋体" w:hAnsi="宋体" w:eastAsia="宋体" w:cs="宋体"/>
          <w:color w:val="auto"/>
          <w:szCs w:val="32"/>
        </w:rPr>
      </w:pPr>
      <w:bookmarkStart w:id="508" w:name="_Toc4953"/>
      <w:bookmarkStart w:id="509" w:name="_Toc28749"/>
      <w:bookmarkStart w:id="510" w:name="_Toc14301"/>
      <w:bookmarkStart w:id="511" w:name="_Toc4452"/>
      <w:bookmarkStart w:id="512" w:name="_Toc23718"/>
      <w:bookmarkStart w:id="513" w:name="_Toc525109178"/>
      <w:r>
        <w:rPr>
          <w:rFonts w:hint="eastAsia" w:ascii="宋体" w:hAnsi="宋体" w:eastAsia="宋体" w:cs="宋体"/>
          <w:color w:val="auto"/>
          <w:szCs w:val="32"/>
        </w:rPr>
        <w:t>7 安全经营条件符合性评价</w:t>
      </w:r>
      <w:bookmarkEnd w:id="508"/>
      <w:bookmarkEnd w:id="509"/>
      <w:bookmarkEnd w:id="510"/>
      <w:bookmarkEnd w:id="511"/>
      <w:bookmarkEnd w:id="512"/>
    </w:p>
    <w:p>
      <w:pPr>
        <w:pStyle w:val="7"/>
        <w:pageBreakBefore w:val="0"/>
        <w:kinsoku/>
        <w:wordWrap/>
        <w:overflowPunct/>
        <w:topLinePunct w:val="0"/>
        <w:autoSpaceDE/>
        <w:autoSpaceDN/>
        <w:bidi w:val="0"/>
        <w:spacing w:line="600" w:lineRule="exact"/>
        <w:textAlignment w:val="auto"/>
        <w:rPr>
          <w:rFonts w:hint="eastAsia" w:ascii="宋体" w:hAnsi="宋体" w:eastAsia="宋体" w:cs="宋体"/>
          <w:color w:val="auto"/>
          <w:sz w:val="30"/>
          <w:szCs w:val="30"/>
        </w:rPr>
      </w:pPr>
      <w:bookmarkStart w:id="514" w:name="_Toc306969197"/>
      <w:bookmarkStart w:id="515" w:name="_Toc216171513"/>
      <w:bookmarkStart w:id="516" w:name="_Toc270927297"/>
      <w:bookmarkStart w:id="517" w:name="_Toc355790612"/>
      <w:bookmarkStart w:id="518" w:name="_Toc226136829"/>
      <w:bookmarkStart w:id="519" w:name="_Toc486427814"/>
      <w:bookmarkStart w:id="520" w:name="_Toc21471"/>
      <w:bookmarkStart w:id="521" w:name="_Toc12673"/>
      <w:bookmarkStart w:id="522" w:name="_Toc17311"/>
      <w:bookmarkStart w:id="523" w:name="_Toc409074869"/>
      <w:bookmarkStart w:id="524" w:name="_Toc26853"/>
      <w:bookmarkStart w:id="525" w:name="_Toc22344"/>
      <w:bookmarkStart w:id="526" w:name="_Toc27236"/>
      <w:r>
        <w:rPr>
          <w:rFonts w:hint="eastAsia" w:ascii="宋体" w:hAnsi="宋体" w:eastAsia="宋体" w:cs="宋体"/>
          <w:color w:val="auto"/>
          <w:sz w:val="30"/>
          <w:szCs w:val="30"/>
        </w:rPr>
        <w:t>7.1总体布局符合性</w:t>
      </w:r>
      <w:bookmarkEnd w:id="514"/>
      <w:bookmarkEnd w:id="515"/>
      <w:bookmarkEnd w:id="516"/>
      <w:bookmarkEnd w:id="517"/>
      <w:bookmarkEnd w:id="518"/>
      <w:r>
        <w:rPr>
          <w:rFonts w:hint="eastAsia" w:ascii="宋体" w:hAnsi="宋体" w:eastAsia="宋体" w:cs="宋体"/>
          <w:color w:val="auto"/>
          <w:sz w:val="30"/>
          <w:szCs w:val="30"/>
        </w:rPr>
        <w:t>评价</w:t>
      </w:r>
      <w:bookmarkEnd w:id="519"/>
      <w:bookmarkEnd w:id="520"/>
      <w:bookmarkEnd w:id="521"/>
      <w:bookmarkEnd w:id="522"/>
      <w:bookmarkEnd w:id="523"/>
      <w:bookmarkEnd w:id="524"/>
      <w:bookmarkEnd w:id="525"/>
      <w:bookmarkEnd w:id="526"/>
    </w:p>
    <w:p>
      <w:pPr>
        <w:pageBreakBefore w:val="0"/>
        <w:kinsoku/>
        <w:wordWrap/>
        <w:overflowPunct/>
        <w:topLinePunct w:val="0"/>
        <w:autoSpaceDE/>
        <w:autoSpaceDN/>
        <w:bidi w:val="0"/>
        <w:spacing w:line="600" w:lineRule="exact"/>
        <w:ind w:firstLine="562" w:firstLineChars="200"/>
        <w:textAlignment w:val="auto"/>
        <w:rPr>
          <w:rFonts w:hint="eastAsia" w:ascii="宋体" w:hAnsi="宋体" w:eastAsia="宋体" w:cs="宋体"/>
          <w:color w:val="auto"/>
          <w:szCs w:val="28"/>
        </w:rPr>
      </w:pPr>
      <w:r>
        <w:rPr>
          <w:rFonts w:hint="eastAsia" w:ascii="宋体" w:hAnsi="宋体" w:eastAsia="宋体" w:cs="宋体"/>
          <w:b/>
          <w:color w:val="auto"/>
          <w:szCs w:val="28"/>
        </w:rPr>
        <w:t>1）厂址与总平面布置安全检查</w:t>
      </w:r>
    </w:p>
    <w:p>
      <w:pPr>
        <w:pageBreakBefore w:val="0"/>
        <w:kinsoku/>
        <w:wordWrap/>
        <w:overflowPunct/>
        <w:topLinePunct w:val="0"/>
        <w:autoSpaceDE/>
        <w:autoSpaceDN/>
        <w:bidi w:val="0"/>
        <w:spacing w:line="600" w:lineRule="exact"/>
        <w:jc w:val="center"/>
        <w:textAlignment w:val="auto"/>
        <w:rPr>
          <w:rFonts w:hint="eastAsia" w:ascii="宋体" w:hAnsi="宋体" w:eastAsia="宋体" w:cs="宋体"/>
          <w:b/>
          <w:bCs/>
          <w:color w:val="auto"/>
          <w:szCs w:val="28"/>
        </w:rPr>
      </w:pPr>
      <w:r>
        <w:rPr>
          <w:rFonts w:hint="eastAsia" w:ascii="宋体" w:hAnsi="宋体" w:eastAsia="宋体" w:cs="宋体"/>
          <w:b/>
          <w:bCs/>
          <w:color w:val="auto"/>
          <w:szCs w:val="28"/>
          <w:lang w:val="zh-CN"/>
        </w:rPr>
        <w:t>表</w:t>
      </w:r>
      <w:r>
        <w:rPr>
          <w:rFonts w:hint="eastAsia" w:ascii="宋体" w:hAnsi="宋体" w:eastAsia="宋体" w:cs="宋体"/>
          <w:b/>
          <w:bCs/>
          <w:color w:val="auto"/>
          <w:szCs w:val="28"/>
        </w:rPr>
        <w:t>7</w:t>
      </w:r>
      <w:r>
        <w:rPr>
          <w:rFonts w:hint="eastAsia" w:ascii="宋体" w:hAnsi="宋体" w:eastAsia="宋体" w:cs="宋体"/>
          <w:b/>
          <w:bCs/>
          <w:color w:val="auto"/>
          <w:szCs w:val="28"/>
          <w:lang w:val="zh-CN"/>
        </w:rPr>
        <w:t>-1</w:t>
      </w:r>
      <w:r>
        <w:rPr>
          <w:rFonts w:hint="eastAsia" w:ascii="宋体" w:hAnsi="宋体" w:eastAsia="宋体" w:cs="宋体"/>
          <w:b/>
          <w:bCs/>
          <w:color w:val="auto"/>
          <w:szCs w:val="28"/>
        </w:rPr>
        <w:t xml:space="preserve">  </w:t>
      </w:r>
      <w:r>
        <w:rPr>
          <w:rFonts w:hint="eastAsia" w:ascii="宋体" w:hAnsi="宋体" w:eastAsia="宋体" w:cs="宋体"/>
          <w:b/>
          <w:color w:val="auto"/>
          <w:szCs w:val="28"/>
          <w:lang w:val="zh-CN"/>
        </w:rPr>
        <w:t>总平面布置及建筑物安全检查表</w:t>
      </w:r>
    </w:p>
    <w:tbl>
      <w:tblPr>
        <w:tblStyle w:val="28"/>
        <w:tblW w:w="940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26"/>
        <w:gridCol w:w="4638"/>
        <w:gridCol w:w="1819"/>
        <w:gridCol w:w="1803"/>
        <w:gridCol w:w="7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4638" w:type="dxa"/>
            <w:vAlign w:val="center"/>
          </w:tcPr>
          <w:p>
            <w:pPr>
              <w:pStyle w:val="20"/>
              <w:pBdr>
                <w:bottom w:val="none" w:color="auto" w:sz="0" w:space="0"/>
              </w:pBdr>
              <w:tabs>
                <w:tab w:val="clear" w:pos="4153"/>
                <w:tab w:val="clear" w:pos="8306"/>
              </w:tabs>
              <w:snapToGrid/>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检查内容</w:t>
            </w:r>
          </w:p>
        </w:tc>
        <w:tc>
          <w:tcPr>
            <w:tcW w:w="1819" w:type="dxa"/>
            <w:vAlign w:val="center"/>
          </w:tcPr>
          <w:p>
            <w:pPr>
              <w:pStyle w:val="20"/>
              <w:pBdr>
                <w:bottom w:val="none" w:color="auto" w:sz="0" w:space="0"/>
              </w:pBdr>
              <w:tabs>
                <w:tab w:val="clear" w:pos="4153"/>
                <w:tab w:val="clear" w:pos="8306"/>
              </w:tabs>
              <w:snapToGrid/>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实际情况</w:t>
            </w:r>
          </w:p>
        </w:tc>
        <w:tc>
          <w:tcPr>
            <w:tcW w:w="1803"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法律、法规、标准等依据</w:t>
            </w:r>
          </w:p>
        </w:tc>
        <w:tc>
          <w:tcPr>
            <w:tcW w:w="71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评价结果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一</w:t>
            </w:r>
          </w:p>
        </w:tc>
        <w:tc>
          <w:tcPr>
            <w:tcW w:w="8974" w:type="dxa"/>
            <w:gridSpan w:val="4"/>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厂址选择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638" w:type="dxa"/>
            <w:vAlign w:val="center"/>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居住区、交通运输、动力公用设施、废料场及环境保护工程等用地，应与厂区用地同时选择</w:t>
            </w:r>
            <w:r>
              <w:rPr>
                <w:rFonts w:hint="eastAsia" w:ascii="宋体" w:hAnsi="宋体" w:eastAsia="宋体" w:cs="宋体"/>
                <w:color w:val="auto"/>
                <w:sz w:val="21"/>
                <w:szCs w:val="21"/>
              </w:rPr>
              <w:t>。</w:t>
            </w:r>
          </w:p>
        </w:tc>
        <w:tc>
          <w:tcPr>
            <w:tcW w:w="1819" w:type="dxa"/>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kern w:val="0"/>
                <w:sz w:val="21"/>
                <w:szCs w:val="21"/>
              </w:rPr>
              <w:t>符合要求</w:t>
            </w:r>
            <w:r>
              <w:rPr>
                <w:rFonts w:hint="eastAsia" w:ascii="宋体" w:hAnsi="宋体" w:eastAsia="宋体" w:cs="宋体"/>
                <w:color w:val="auto"/>
                <w:sz w:val="21"/>
                <w:szCs w:val="21"/>
              </w:rPr>
              <w:t>。</w:t>
            </w:r>
          </w:p>
        </w:tc>
        <w:tc>
          <w:tcPr>
            <w:tcW w:w="1803"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《工业企业总平面设计规范》(GB50187-2012)</w:t>
            </w:r>
          </w:p>
        </w:tc>
        <w:tc>
          <w:tcPr>
            <w:tcW w:w="71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4638" w:type="dxa"/>
            <w:vAlign w:val="center"/>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厂址选择应对原料和燃料及辅助材料的来源、产品流向、建设条件、经济、社会、人文、环境保护等各种因素进行深入的调查研究，并应对其进行多方案技术经济比较，择优确定</w:t>
            </w:r>
            <w:r>
              <w:rPr>
                <w:rFonts w:hint="eastAsia" w:ascii="宋体" w:hAnsi="宋体" w:eastAsia="宋体" w:cs="宋体"/>
                <w:color w:val="auto"/>
                <w:sz w:val="21"/>
                <w:szCs w:val="21"/>
              </w:rPr>
              <w:t>。</w:t>
            </w:r>
          </w:p>
        </w:tc>
        <w:tc>
          <w:tcPr>
            <w:tcW w:w="1819" w:type="dxa"/>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项目前期工作进行了充分论证，符合要求。</w:t>
            </w:r>
          </w:p>
        </w:tc>
        <w:tc>
          <w:tcPr>
            <w:tcW w:w="1803"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《工业企业总平面设计规范》(GB50187-2012)</w:t>
            </w:r>
          </w:p>
        </w:tc>
        <w:tc>
          <w:tcPr>
            <w:tcW w:w="71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4638" w:type="dxa"/>
            <w:vAlign w:val="center"/>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厂址宜靠近原料、燃料基地或产品主要销售地。并应有方便、经济的交通运输条件，与厂外铁路、公路、港口的连接，应短捷，且工程量小</w:t>
            </w:r>
            <w:r>
              <w:rPr>
                <w:rFonts w:hint="eastAsia" w:ascii="宋体" w:hAnsi="宋体" w:eastAsia="宋体" w:cs="宋体"/>
                <w:color w:val="auto"/>
                <w:sz w:val="21"/>
                <w:szCs w:val="21"/>
              </w:rPr>
              <w:t>。</w:t>
            </w:r>
          </w:p>
        </w:tc>
        <w:tc>
          <w:tcPr>
            <w:tcW w:w="1819" w:type="dxa"/>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项目紧临分输站</w:t>
            </w:r>
            <w:r>
              <w:rPr>
                <w:rFonts w:hint="eastAsia" w:ascii="宋体" w:hAnsi="宋体" w:eastAsia="宋体" w:cs="宋体"/>
                <w:color w:val="auto"/>
                <w:kern w:val="0"/>
                <w:sz w:val="21"/>
                <w:szCs w:val="21"/>
              </w:rPr>
              <w:t>，且交通运输较方便，符合要求</w:t>
            </w:r>
            <w:r>
              <w:rPr>
                <w:rFonts w:hint="eastAsia" w:ascii="宋体" w:hAnsi="宋体" w:eastAsia="宋体" w:cs="宋体"/>
                <w:color w:val="auto"/>
                <w:sz w:val="21"/>
                <w:szCs w:val="21"/>
              </w:rPr>
              <w:t>。</w:t>
            </w:r>
          </w:p>
        </w:tc>
        <w:tc>
          <w:tcPr>
            <w:tcW w:w="1803"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《工业企业总平面设计规范》(GB50187-2012)</w:t>
            </w:r>
          </w:p>
        </w:tc>
        <w:tc>
          <w:tcPr>
            <w:tcW w:w="71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4638" w:type="dxa"/>
            <w:vAlign w:val="center"/>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厂址应具有满足建设工程需要的工程地质条件和水文地质条件</w:t>
            </w:r>
            <w:r>
              <w:rPr>
                <w:rFonts w:hint="eastAsia" w:ascii="宋体" w:hAnsi="宋体" w:eastAsia="宋体" w:cs="宋体"/>
                <w:color w:val="auto"/>
                <w:sz w:val="21"/>
                <w:szCs w:val="21"/>
              </w:rPr>
              <w:t>。</w:t>
            </w:r>
          </w:p>
        </w:tc>
        <w:tc>
          <w:tcPr>
            <w:tcW w:w="1819" w:type="dxa"/>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荒地平整，地质条件符合要求。</w:t>
            </w:r>
          </w:p>
        </w:tc>
        <w:tc>
          <w:tcPr>
            <w:tcW w:w="1803"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《工业企业总平面设计规范》(GB50187-2012)</w:t>
            </w:r>
          </w:p>
        </w:tc>
        <w:tc>
          <w:tcPr>
            <w:tcW w:w="71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4638" w:type="dxa"/>
            <w:vAlign w:val="center"/>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厂址应满足工业企业近期所必需的场地面积和适宜的地形坡度。并应根据工业企业远期发展规划的需要，适当留有发展的余地</w:t>
            </w:r>
            <w:r>
              <w:rPr>
                <w:rFonts w:hint="eastAsia" w:ascii="宋体" w:hAnsi="宋体" w:eastAsia="宋体" w:cs="宋体"/>
                <w:color w:val="auto"/>
                <w:sz w:val="21"/>
                <w:szCs w:val="21"/>
              </w:rPr>
              <w:t>。</w:t>
            </w:r>
          </w:p>
        </w:tc>
        <w:tc>
          <w:tcPr>
            <w:tcW w:w="1819" w:type="dxa"/>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kern w:val="0"/>
                <w:sz w:val="21"/>
                <w:szCs w:val="21"/>
              </w:rPr>
              <w:t>满足工业企业近期所必需的场地面积和适宜的地形坡度。</w:t>
            </w:r>
          </w:p>
        </w:tc>
        <w:tc>
          <w:tcPr>
            <w:tcW w:w="1803"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《工业企业总平面设计规范》(GB50187-2012)</w:t>
            </w:r>
          </w:p>
        </w:tc>
        <w:tc>
          <w:tcPr>
            <w:tcW w:w="71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4638" w:type="dxa"/>
            <w:vAlign w:val="center"/>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厂址应有利于同邻近工业企业和依托城镇在生产、交通运输、动力公用、修理、综合利用和生活设施等方面的协作</w:t>
            </w:r>
            <w:r>
              <w:rPr>
                <w:rFonts w:hint="eastAsia" w:ascii="宋体" w:hAnsi="宋体" w:eastAsia="宋体" w:cs="宋体"/>
                <w:color w:val="auto"/>
                <w:sz w:val="21"/>
                <w:szCs w:val="21"/>
              </w:rPr>
              <w:t>。</w:t>
            </w:r>
          </w:p>
        </w:tc>
        <w:tc>
          <w:tcPr>
            <w:tcW w:w="1819" w:type="dxa"/>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本项目</w:t>
            </w:r>
            <w:r>
              <w:rPr>
                <w:rFonts w:hint="eastAsia" w:ascii="宋体" w:hAnsi="宋体" w:eastAsia="宋体" w:cs="宋体"/>
                <w:color w:val="auto"/>
                <w:kern w:val="0"/>
                <w:sz w:val="21"/>
                <w:szCs w:val="21"/>
              </w:rPr>
              <w:t>生产、交通运输、动力公用、修理、综合利用和生活设施较完善</w:t>
            </w:r>
            <w:r>
              <w:rPr>
                <w:rFonts w:hint="eastAsia" w:ascii="宋体" w:hAnsi="宋体" w:eastAsia="宋体" w:cs="宋体"/>
                <w:color w:val="auto"/>
                <w:sz w:val="21"/>
                <w:szCs w:val="21"/>
              </w:rPr>
              <w:t>。</w:t>
            </w:r>
          </w:p>
        </w:tc>
        <w:tc>
          <w:tcPr>
            <w:tcW w:w="1803"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《工业企业总平面设计规范》(GB50187-2012)</w:t>
            </w:r>
          </w:p>
        </w:tc>
        <w:tc>
          <w:tcPr>
            <w:tcW w:w="71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4638" w:type="dxa"/>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kern w:val="0"/>
                <w:sz w:val="21"/>
                <w:szCs w:val="21"/>
              </w:rPr>
              <w:t>厂址应位于不受洪水、潮水或内涝威胁的地带</w:t>
            </w:r>
            <w:r>
              <w:rPr>
                <w:rFonts w:hint="eastAsia" w:ascii="宋体" w:hAnsi="宋体" w:eastAsia="宋体" w:cs="宋体"/>
                <w:color w:val="auto"/>
                <w:sz w:val="21"/>
                <w:szCs w:val="21"/>
              </w:rPr>
              <w:t>。</w:t>
            </w:r>
          </w:p>
        </w:tc>
        <w:tc>
          <w:tcPr>
            <w:tcW w:w="1819" w:type="dxa"/>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kern w:val="0"/>
                <w:sz w:val="21"/>
                <w:szCs w:val="21"/>
              </w:rPr>
              <w:t>无内涝威胁的地带</w:t>
            </w:r>
            <w:r>
              <w:rPr>
                <w:rFonts w:hint="eastAsia" w:ascii="宋体" w:hAnsi="宋体" w:eastAsia="宋体" w:cs="宋体"/>
                <w:color w:val="auto"/>
                <w:sz w:val="21"/>
                <w:szCs w:val="21"/>
              </w:rPr>
              <w:t>。</w:t>
            </w:r>
          </w:p>
        </w:tc>
        <w:tc>
          <w:tcPr>
            <w:tcW w:w="1803"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《工业企业总平面设计规范》(GB50187-2012)</w:t>
            </w:r>
          </w:p>
        </w:tc>
        <w:tc>
          <w:tcPr>
            <w:tcW w:w="71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二</w:t>
            </w:r>
          </w:p>
        </w:tc>
        <w:tc>
          <w:tcPr>
            <w:tcW w:w="8974" w:type="dxa"/>
            <w:gridSpan w:val="4"/>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总体规划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638" w:type="dxa"/>
            <w:vAlign w:val="center"/>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工业企业总体规划，应结合工业企业所在区域的技术经济、自然条件等进行编制，并应满足生产、运输、防震、防洪、防火、安全、卫生、环境保护和职工生活设施的需要，经多方案技术经济比较后，择优确定</w:t>
            </w:r>
            <w:r>
              <w:rPr>
                <w:rFonts w:hint="eastAsia" w:ascii="宋体" w:hAnsi="宋体" w:eastAsia="宋体" w:cs="宋体"/>
                <w:color w:val="auto"/>
                <w:sz w:val="21"/>
                <w:szCs w:val="21"/>
              </w:rPr>
              <w:t>。</w:t>
            </w:r>
          </w:p>
        </w:tc>
        <w:tc>
          <w:tcPr>
            <w:tcW w:w="1819" w:type="dxa"/>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符合当地经济发展要求，厂址选择</w:t>
            </w:r>
            <w:r>
              <w:rPr>
                <w:rFonts w:hint="eastAsia" w:ascii="宋体" w:hAnsi="宋体" w:eastAsia="宋体" w:cs="宋体"/>
                <w:color w:val="auto"/>
                <w:kern w:val="0"/>
                <w:sz w:val="21"/>
                <w:szCs w:val="21"/>
              </w:rPr>
              <w:t>满足生产、运输、防震、防洪、防火、安全、卫生、环境保护和职工生活设施的需要，符合要求</w:t>
            </w:r>
            <w:r>
              <w:rPr>
                <w:rFonts w:hint="eastAsia" w:ascii="宋体" w:hAnsi="宋体" w:eastAsia="宋体" w:cs="宋体"/>
                <w:color w:val="auto"/>
                <w:sz w:val="21"/>
                <w:szCs w:val="21"/>
              </w:rPr>
              <w:t>。</w:t>
            </w:r>
          </w:p>
        </w:tc>
        <w:tc>
          <w:tcPr>
            <w:tcW w:w="1803"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《工业企业总平面设计规范》(GB50187-2012)</w:t>
            </w:r>
          </w:p>
        </w:tc>
        <w:tc>
          <w:tcPr>
            <w:tcW w:w="71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4638" w:type="dxa"/>
            <w:vAlign w:val="center"/>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工业企业总体规划，应符合城镇总体规划的要求</w:t>
            </w:r>
          </w:p>
        </w:tc>
        <w:tc>
          <w:tcPr>
            <w:tcW w:w="1819" w:type="dxa"/>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kern w:val="0"/>
                <w:sz w:val="21"/>
                <w:szCs w:val="21"/>
              </w:rPr>
              <w:t>符合城镇总体规划的要求</w:t>
            </w:r>
            <w:r>
              <w:rPr>
                <w:rFonts w:hint="eastAsia" w:ascii="宋体" w:hAnsi="宋体" w:eastAsia="宋体" w:cs="宋体"/>
                <w:color w:val="auto"/>
                <w:sz w:val="21"/>
                <w:szCs w:val="21"/>
              </w:rPr>
              <w:t>。</w:t>
            </w:r>
          </w:p>
        </w:tc>
        <w:tc>
          <w:tcPr>
            <w:tcW w:w="1803"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《工业企业总平面设计规范》(GB50187-2012)</w:t>
            </w:r>
          </w:p>
        </w:tc>
        <w:tc>
          <w:tcPr>
            <w:tcW w:w="71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4638" w:type="dxa"/>
            <w:vAlign w:val="center"/>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厂区、居住区、交通运输、动力公用设施、防洪排涝、废料场、尾矿场、排土场、环境保护工程和综合利用场地等，应同时规划。当有的大型工业企业必须设置施工生产基地时，亦应同时规划</w:t>
            </w:r>
            <w:r>
              <w:rPr>
                <w:rFonts w:hint="eastAsia" w:ascii="宋体" w:hAnsi="宋体" w:eastAsia="宋体" w:cs="宋体"/>
                <w:color w:val="auto"/>
                <w:sz w:val="21"/>
                <w:szCs w:val="21"/>
              </w:rPr>
              <w:t>。</w:t>
            </w:r>
          </w:p>
        </w:tc>
        <w:tc>
          <w:tcPr>
            <w:tcW w:w="1819" w:type="dxa"/>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kern w:val="0"/>
                <w:sz w:val="21"/>
                <w:szCs w:val="21"/>
              </w:rPr>
              <w:t>已考虑</w:t>
            </w:r>
            <w:r>
              <w:rPr>
                <w:rFonts w:hint="eastAsia" w:ascii="宋体" w:hAnsi="宋体" w:eastAsia="宋体" w:cs="宋体"/>
                <w:color w:val="auto"/>
                <w:sz w:val="21"/>
                <w:szCs w:val="21"/>
              </w:rPr>
              <w:t>。</w:t>
            </w:r>
          </w:p>
        </w:tc>
        <w:tc>
          <w:tcPr>
            <w:tcW w:w="1803"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《工业企业总平面设计规范》(GB50187-2012)</w:t>
            </w:r>
          </w:p>
        </w:tc>
        <w:tc>
          <w:tcPr>
            <w:tcW w:w="71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4638" w:type="dxa"/>
            <w:vAlign w:val="center"/>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工业企业分期建设时，总体规划应正确处理近期和远期的关系。近期集中布置，远期预留发展，分期征地，严禁先征待用</w:t>
            </w:r>
            <w:r>
              <w:rPr>
                <w:rFonts w:hint="eastAsia" w:ascii="宋体" w:hAnsi="宋体" w:eastAsia="宋体" w:cs="宋体"/>
                <w:color w:val="auto"/>
                <w:sz w:val="21"/>
                <w:szCs w:val="21"/>
              </w:rPr>
              <w:t>。</w:t>
            </w:r>
          </w:p>
        </w:tc>
        <w:tc>
          <w:tcPr>
            <w:tcW w:w="1819" w:type="dxa"/>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满足。</w:t>
            </w:r>
          </w:p>
        </w:tc>
        <w:tc>
          <w:tcPr>
            <w:tcW w:w="1803"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《工业企业总平面设计规范》(GB50187-2012)</w:t>
            </w:r>
          </w:p>
        </w:tc>
        <w:tc>
          <w:tcPr>
            <w:tcW w:w="71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26"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4638" w:type="dxa"/>
            <w:vAlign w:val="center"/>
          </w:tcPr>
          <w:p>
            <w:pPr>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联合企业中不同类型的工厂，应按生产性质、相互关系、协作条件等因素分区集中布置。对产生有害气体、烟、雾、粉尘等有害物质的工厂，必须采取治理措施，其有害物质排放的浓度，必须符合现行国家标准《工业企业设计卫生标准》的规定。</w:t>
            </w:r>
          </w:p>
        </w:tc>
        <w:tc>
          <w:tcPr>
            <w:tcW w:w="1819" w:type="dxa"/>
            <w:vAlign w:val="center"/>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本建设项目装置工艺技术成熟。</w:t>
            </w:r>
          </w:p>
        </w:tc>
        <w:tc>
          <w:tcPr>
            <w:tcW w:w="1803"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《工业企业总平面设计规范》(GB50187-2012)</w:t>
            </w:r>
          </w:p>
        </w:tc>
        <w:tc>
          <w:tcPr>
            <w:tcW w:w="714"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bl>
    <w:p>
      <w:pPr>
        <w:pageBreakBefore w:val="0"/>
        <w:kinsoku/>
        <w:wordWrap/>
        <w:overflowPunct/>
        <w:topLinePunct w:val="0"/>
        <w:autoSpaceDE/>
        <w:autoSpaceDN/>
        <w:bidi w:val="0"/>
        <w:spacing w:line="600" w:lineRule="exact"/>
        <w:ind w:firstLine="560" w:firstLineChars="200"/>
        <w:jc w:val="left"/>
        <w:textAlignment w:val="auto"/>
        <w:rPr>
          <w:rFonts w:hint="eastAsia" w:ascii="宋体" w:hAnsi="宋体" w:eastAsia="宋体" w:cs="宋体"/>
          <w:color w:val="auto"/>
          <w:szCs w:val="28"/>
        </w:rPr>
      </w:pPr>
      <w:r>
        <w:rPr>
          <w:rFonts w:hint="eastAsia" w:ascii="宋体" w:hAnsi="宋体" w:eastAsia="宋体" w:cs="宋体"/>
          <w:color w:val="auto"/>
          <w:szCs w:val="28"/>
        </w:rPr>
        <w:t>评价结论：建设项目的选址符合国家有关法律法规的要求</w:t>
      </w:r>
    </w:p>
    <w:p>
      <w:pPr>
        <w:pStyle w:val="7"/>
        <w:pageBreakBefore w:val="0"/>
        <w:kinsoku/>
        <w:wordWrap/>
        <w:overflowPunct/>
        <w:topLinePunct w:val="0"/>
        <w:autoSpaceDE/>
        <w:autoSpaceDN/>
        <w:bidi w:val="0"/>
        <w:spacing w:line="600" w:lineRule="exact"/>
        <w:textAlignment w:val="auto"/>
        <w:rPr>
          <w:rFonts w:hint="eastAsia" w:ascii="宋体" w:hAnsi="宋体" w:eastAsia="宋体" w:cs="宋体"/>
          <w:color w:val="auto"/>
          <w:sz w:val="30"/>
          <w:szCs w:val="30"/>
        </w:rPr>
      </w:pPr>
      <w:bookmarkStart w:id="527" w:name="_Toc350506800"/>
      <w:bookmarkStart w:id="528" w:name="_Toc24574"/>
      <w:bookmarkStart w:id="529" w:name="_Toc14505"/>
      <w:bookmarkStart w:id="530" w:name="_Toc17524"/>
      <w:bookmarkStart w:id="531" w:name="_Toc486427815"/>
      <w:bookmarkStart w:id="532" w:name="_Toc23739"/>
      <w:bookmarkStart w:id="533" w:name="_Toc13288"/>
      <w:bookmarkStart w:id="534" w:name="_Toc213219613"/>
      <w:bookmarkStart w:id="535" w:name="_Toc213219777"/>
      <w:bookmarkStart w:id="536" w:name="_Toc166919824"/>
      <w:bookmarkStart w:id="537" w:name="_Toc115317561"/>
      <w:bookmarkStart w:id="538" w:name="_Toc145841644"/>
      <w:bookmarkStart w:id="539" w:name="_Toc341993542"/>
      <w:bookmarkStart w:id="540" w:name="_Toc213219141"/>
      <w:bookmarkStart w:id="541" w:name="_Toc199581526"/>
      <w:bookmarkStart w:id="542" w:name="_Toc111106174"/>
      <w:bookmarkStart w:id="543" w:name="_Toc213219696"/>
      <w:r>
        <w:rPr>
          <w:rFonts w:hint="eastAsia" w:ascii="宋体" w:hAnsi="宋体" w:eastAsia="宋体" w:cs="宋体"/>
          <w:color w:val="auto"/>
          <w:sz w:val="30"/>
          <w:szCs w:val="30"/>
        </w:rPr>
        <w:t>7.2常规防护设施</w:t>
      </w:r>
      <w:bookmarkEnd w:id="527"/>
      <w:r>
        <w:rPr>
          <w:rFonts w:hint="eastAsia" w:ascii="宋体" w:hAnsi="宋体" w:eastAsia="宋体" w:cs="宋体"/>
          <w:color w:val="auto"/>
          <w:sz w:val="30"/>
          <w:szCs w:val="30"/>
        </w:rPr>
        <w:t>安全评价</w:t>
      </w:r>
      <w:bookmarkEnd w:id="528"/>
      <w:bookmarkEnd w:id="529"/>
      <w:bookmarkEnd w:id="530"/>
      <w:bookmarkEnd w:id="531"/>
      <w:bookmarkEnd w:id="532"/>
      <w:bookmarkEnd w:id="533"/>
    </w:p>
    <w:p>
      <w:pPr>
        <w:pageBreakBefore w:val="0"/>
        <w:kinsoku/>
        <w:wordWrap/>
        <w:overflowPunct/>
        <w:topLinePunct w:val="0"/>
        <w:autoSpaceDE/>
        <w:autoSpaceDN/>
        <w:bidi w:val="0"/>
        <w:spacing w:line="600" w:lineRule="exact"/>
        <w:jc w:val="center"/>
        <w:textAlignment w:val="auto"/>
        <w:rPr>
          <w:rFonts w:hint="eastAsia" w:ascii="宋体" w:hAnsi="宋体" w:eastAsia="宋体" w:cs="宋体"/>
          <w:b/>
          <w:color w:val="auto"/>
          <w:szCs w:val="28"/>
        </w:rPr>
      </w:pPr>
      <w:r>
        <w:rPr>
          <w:rFonts w:hint="eastAsia" w:ascii="宋体" w:hAnsi="宋体" w:eastAsia="宋体" w:cs="宋体"/>
          <w:b/>
          <w:color w:val="auto"/>
          <w:szCs w:val="28"/>
        </w:rPr>
        <w:t>表7-2 常规防护设施安全检查表</w:t>
      </w:r>
    </w:p>
    <w:tbl>
      <w:tblPr>
        <w:tblStyle w:val="28"/>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27"/>
        <w:gridCol w:w="3673"/>
        <w:gridCol w:w="2374"/>
        <w:gridCol w:w="1910"/>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27" w:type="dxa"/>
            <w:shd w:val="clear" w:color="auto" w:fill="E6E6E6"/>
            <w:vAlign w:val="center"/>
          </w:tcPr>
          <w:p>
            <w:pPr>
              <w:adjustRightInd w:val="0"/>
              <w:snapToGrid w:val="0"/>
              <w:spacing w:line="28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3673" w:type="dxa"/>
            <w:shd w:val="clear" w:color="auto" w:fill="E6E6E6"/>
            <w:vAlign w:val="center"/>
          </w:tcPr>
          <w:p>
            <w:pPr>
              <w:adjustRightInd w:val="0"/>
              <w:snapToGrid w:val="0"/>
              <w:spacing w:line="28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检查内容</w:t>
            </w:r>
          </w:p>
        </w:tc>
        <w:tc>
          <w:tcPr>
            <w:tcW w:w="2374" w:type="dxa"/>
            <w:shd w:val="clear" w:color="auto" w:fill="E6E6E6"/>
            <w:vAlign w:val="center"/>
          </w:tcPr>
          <w:p>
            <w:pPr>
              <w:adjustRightInd w:val="0"/>
              <w:snapToGrid w:val="0"/>
              <w:spacing w:line="28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检查依据</w:t>
            </w:r>
          </w:p>
        </w:tc>
        <w:tc>
          <w:tcPr>
            <w:tcW w:w="1910" w:type="dxa"/>
            <w:shd w:val="clear" w:color="auto" w:fill="E6E6E6"/>
            <w:vAlign w:val="center"/>
          </w:tcPr>
          <w:p>
            <w:pPr>
              <w:adjustRightInd w:val="0"/>
              <w:snapToGrid w:val="0"/>
              <w:spacing w:line="28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检查结果</w:t>
            </w:r>
          </w:p>
        </w:tc>
        <w:tc>
          <w:tcPr>
            <w:tcW w:w="920" w:type="dxa"/>
            <w:shd w:val="clear" w:color="auto" w:fill="E6E6E6"/>
            <w:vAlign w:val="center"/>
          </w:tcPr>
          <w:p>
            <w:pPr>
              <w:adjustRightInd w:val="0"/>
              <w:snapToGrid w:val="0"/>
              <w:spacing w:line="28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527"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673" w:type="dxa"/>
            <w:vAlign w:val="center"/>
          </w:tcPr>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工作场所应按《安全色》设立警示标志。</w:t>
            </w:r>
          </w:p>
        </w:tc>
        <w:tc>
          <w:tcPr>
            <w:tcW w:w="2374" w:type="dxa"/>
            <w:vMerge w:val="restart"/>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《安全标志及其使用导则》《化工企业安全卫生设计规定》HG20571-2014</w:t>
            </w:r>
          </w:p>
        </w:tc>
        <w:tc>
          <w:tcPr>
            <w:tcW w:w="1910"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设置警示标志</w:t>
            </w:r>
          </w:p>
        </w:tc>
        <w:tc>
          <w:tcPr>
            <w:tcW w:w="920"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527"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3673" w:type="dxa"/>
            <w:vAlign w:val="center"/>
          </w:tcPr>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装置区应设置永久性“严禁烟火”标志</w:t>
            </w:r>
          </w:p>
        </w:tc>
        <w:tc>
          <w:tcPr>
            <w:tcW w:w="2374" w:type="dxa"/>
            <w:vMerge w:val="continue"/>
            <w:vAlign w:val="center"/>
          </w:tcPr>
          <w:p>
            <w:pPr>
              <w:adjustRightInd w:val="0"/>
              <w:snapToGrid w:val="0"/>
              <w:spacing w:line="280" w:lineRule="exact"/>
              <w:jc w:val="center"/>
              <w:rPr>
                <w:rFonts w:hint="eastAsia" w:ascii="宋体" w:hAnsi="宋体" w:eastAsia="宋体" w:cs="宋体"/>
                <w:color w:val="auto"/>
                <w:sz w:val="21"/>
                <w:szCs w:val="21"/>
              </w:rPr>
            </w:pPr>
          </w:p>
        </w:tc>
        <w:tc>
          <w:tcPr>
            <w:tcW w:w="1910"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设置警示标志</w:t>
            </w:r>
          </w:p>
        </w:tc>
        <w:tc>
          <w:tcPr>
            <w:tcW w:w="920"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527"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3673" w:type="dxa"/>
            <w:vAlign w:val="center"/>
          </w:tcPr>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生产场所、作业点的紧急通道和出入口，应设置明显的标志</w:t>
            </w:r>
          </w:p>
        </w:tc>
        <w:tc>
          <w:tcPr>
            <w:tcW w:w="2374"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《生产过程安全卫生要求总则》GB12801-2008</w:t>
            </w:r>
          </w:p>
        </w:tc>
        <w:tc>
          <w:tcPr>
            <w:tcW w:w="1910"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已设置</w:t>
            </w:r>
          </w:p>
        </w:tc>
        <w:tc>
          <w:tcPr>
            <w:tcW w:w="920"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527" w:type="dxa"/>
            <w:vAlign w:val="center"/>
          </w:tcPr>
          <w:p>
            <w:pPr>
              <w:adjustRightInd w:val="0"/>
              <w:snapToGrid w:val="0"/>
              <w:spacing w:line="28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c>
          <w:tcPr>
            <w:tcW w:w="3673" w:type="dxa"/>
            <w:vAlign w:val="center"/>
          </w:tcPr>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作业场所采光、照明应符合相应标准</w:t>
            </w:r>
          </w:p>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的要求</w:t>
            </w:r>
          </w:p>
        </w:tc>
        <w:tc>
          <w:tcPr>
            <w:tcW w:w="2374" w:type="dxa"/>
            <w:vAlign w:val="center"/>
          </w:tcPr>
          <w:p>
            <w:pPr>
              <w:adjustRightInd w:val="0"/>
              <w:snapToGrid w:val="0"/>
              <w:spacing w:line="280" w:lineRule="exact"/>
              <w:jc w:val="center"/>
              <w:rPr>
                <w:rFonts w:hint="eastAsia" w:ascii="宋体" w:hAnsi="宋体" w:eastAsia="宋体" w:cs="宋体"/>
                <w:color w:val="auto"/>
                <w:spacing w:val="-20"/>
                <w:sz w:val="21"/>
                <w:szCs w:val="21"/>
              </w:rPr>
            </w:pPr>
            <w:r>
              <w:rPr>
                <w:rFonts w:hint="eastAsia" w:ascii="宋体" w:hAnsi="宋体" w:eastAsia="宋体" w:cs="宋体"/>
                <w:color w:val="auto"/>
                <w:sz w:val="21"/>
                <w:szCs w:val="21"/>
              </w:rPr>
              <w:t>《建筑采光设计标准》《建筑照明设计标准》</w:t>
            </w:r>
          </w:p>
        </w:tc>
        <w:tc>
          <w:tcPr>
            <w:tcW w:w="1910"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符合要求</w:t>
            </w:r>
          </w:p>
        </w:tc>
        <w:tc>
          <w:tcPr>
            <w:tcW w:w="920"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527"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3673" w:type="dxa"/>
            <w:vAlign w:val="center"/>
          </w:tcPr>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管道上应漆有表示介质流动方向的箭头</w:t>
            </w:r>
          </w:p>
        </w:tc>
        <w:tc>
          <w:tcPr>
            <w:tcW w:w="2374"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《安全标志及其使用导则》</w:t>
            </w:r>
          </w:p>
        </w:tc>
        <w:tc>
          <w:tcPr>
            <w:tcW w:w="1910"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已设置</w:t>
            </w:r>
          </w:p>
        </w:tc>
        <w:tc>
          <w:tcPr>
            <w:tcW w:w="920"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527" w:type="dxa"/>
            <w:vAlign w:val="center"/>
          </w:tcPr>
          <w:p>
            <w:pPr>
              <w:autoSpaceDE w:val="0"/>
              <w:autoSpaceDN w:val="0"/>
              <w:spacing w:line="28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w:t>
            </w:r>
          </w:p>
        </w:tc>
        <w:tc>
          <w:tcPr>
            <w:tcW w:w="3673" w:type="dxa"/>
          </w:tcPr>
          <w:p>
            <w:pPr>
              <w:autoSpaceDE w:val="0"/>
              <w:autoSpaceDN w:val="0"/>
              <w:spacing w:line="2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厂房内的设备和管道必须采取有效的密封措施，防止物料跑、冒、滴、漏，杜绝无组织排放。</w:t>
            </w:r>
          </w:p>
        </w:tc>
        <w:tc>
          <w:tcPr>
            <w:tcW w:w="2374" w:type="dxa"/>
            <w:vAlign w:val="center"/>
          </w:tcPr>
          <w:p>
            <w:pPr>
              <w:autoSpaceDE w:val="0"/>
              <w:autoSpaceDN w:val="0"/>
              <w:spacing w:line="28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w:t>
            </w:r>
            <w:r>
              <w:rPr>
                <w:rFonts w:hint="eastAsia" w:ascii="宋体" w:hAnsi="宋体" w:eastAsia="宋体" w:cs="宋体"/>
                <w:color w:val="auto"/>
                <w:sz w:val="21"/>
                <w:szCs w:val="21"/>
              </w:rPr>
              <w:t>生产设备安全卫生设计总则</w:t>
            </w:r>
            <w:r>
              <w:rPr>
                <w:rFonts w:hint="eastAsia" w:ascii="宋体" w:hAnsi="宋体" w:eastAsia="宋体" w:cs="宋体"/>
                <w:color w:val="auto"/>
                <w:kern w:val="0"/>
                <w:sz w:val="21"/>
                <w:szCs w:val="21"/>
              </w:rPr>
              <w:t>》</w:t>
            </w:r>
          </w:p>
        </w:tc>
        <w:tc>
          <w:tcPr>
            <w:tcW w:w="1910" w:type="dxa"/>
            <w:vAlign w:val="center"/>
          </w:tcPr>
          <w:p>
            <w:pPr>
              <w:autoSpaceDE w:val="0"/>
              <w:autoSpaceDN w:val="0"/>
              <w:spacing w:line="28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无缝钢管、严密检查</w:t>
            </w:r>
          </w:p>
        </w:tc>
        <w:tc>
          <w:tcPr>
            <w:tcW w:w="92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527" w:type="dxa"/>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8</w:t>
            </w:r>
          </w:p>
        </w:tc>
        <w:tc>
          <w:tcPr>
            <w:tcW w:w="3673" w:type="dxa"/>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人员易触及的可动零部件，应尽可能封闭或隔离。</w:t>
            </w:r>
          </w:p>
        </w:tc>
        <w:tc>
          <w:tcPr>
            <w:tcW w:w="2374"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w:t>
            </w:r>
            <w:r>
              <w:rPr>
                <w:rFonts w:hint="eastAsia" w:ascii="宋体" w:hAnsi="宋体" w:eastAsia="宋体" w:cs="宋体"/>
                <w:color w:val="auto"/>
                <w:sz w:val="21"/>
                <w:szCs w:val="21"/>
              </w:rPr>
              <w:t>生产设备安全卫生设计总则</w:t>
            </w:r>
            <w:r>
              <w:rPr>
                <w:rFonts w:hint="eastAsia" w:ascii="宋体" w:hAnsi="宋体" w:eastAsia="宋体" w:cs="宋体"/>
                <w:color w:val="auto"/>
                <w:kern w:val="0"/>
                <w:sz w:val="21"/>
                <w:szCs w:val="21"/>
              </w:rPr>
              <w:t>》</w:t>
            </w:r>
          </w:p>
        </w:tc>
        <w:tc>
          <w:tcPr>
            <w:tcW w:w="191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循环</w:t>
            </w:r>
            <w:r>
              <w:rPr>
                <w:rFonts w:hint="eastAsia" w:ascii="宋体" w:hAnsi="宋体" w:eastAsia="宋体" w:cs="宋体"/>
                <w:color w:val="auto"/>
                <w:sz w:val="21"/>
                <w:szCs w:val="21"/>
              </w:rPr>
              <w:t>泵有防护罩</w:t>
            </w:r>
          </w:p>
        </w:tc>
        <w:tc>
          <w:tcPr>
            <w:tcW w:w="92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527" w:type="dxa"/>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9</w:t>
            </w:r>
          </w:p>
        </w:tc>
        <w:tc>
          <w:tcPr>
            <w:tcW w:w="3673" w:type="dxa"/>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若生产设备的灼热或过冷部位可能造成危险，则必须配置防接触屏蔽。</w:t>
            </w:r>
          </w:p>
        </w:tc>
        <w:tc>
          <w:tcPr>
            <w:tcW w:w="2374"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w:t>
            </w:r>
            <w:r>
              <w:rPr>
                <w:rFonts w:hint="eastAsia" w:ascii="宋体" w:hAnsi="宋体" w:eastAsia="宋体" w:cs="宋体"/>
                <w:color w:val="auto"/>
                <w:sz w:val="21"/>
                <w:szCs w:val="21"/>
              </w:rPr>
              <w:t>生产设备安全卫生设计总则</w:t>
            </w:r>
            <w:r>
              <w:rPr>
                <w:rFonts w:hint="eastAsia" w:ascii="宋体" w:hAnsi="宋体" w:eastAsia="宋体" w:cs="宋体"/>
                <w:color w:val="auto"/>
                <w:kern w:val="0"/>
                <w:sz w:val="21"/>
                <w:szCs w:val="21"/>
              </w:rPr>
              <w:t>》</w:t>
            </w:r>
          </w:p>
        </w:tc>
        <w:tc>
          <w:tcPr>
            <w:tcW w:w="191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屏蔽</w:t>
            </w:r>
          </w:p>
        </w:tc>
        <w:tc>
          <w:tcPr>
            <w:tcW w:w="92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527" w:type="dxa"/>
          </w:tcPr>
          <w:p>
            <w:pPr>
              <w:spacing w:line="28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10</w:t>
            </w:r>
          </w:p>
        </w:tc>
        <w:tc>
          <w:tcPr>
            <w:tcW w:w="3673" w:type="dxa"/>
          </w:tcPr>
          <w:p>
            <w:pPr>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在使用过程中有可能遭受雷击的生产设备，必须采取适当的防护措施，以使雷击时产生的电荷被安全、迅速导入大地。</w:t>
            </w:r>
          </w:p>
        </w:tc>
        <w:tc>
          <w:tcPr>
            <w:tcW w:w="2374" w:type="dxa"/>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w:t>
            </w:r>
            <w:r>
              <w:rPr>
                <w:rFonts w:hint="eastAsia" w:ascii="宋体" w:hAnsi="宋体" w:eastAsia="宋体" w:cs="宋体"/>
                <w:color w:val="auto"/>
                <w:sz w:val="21"/>
                <w:szCs w:val="21"/>
              </w:rPr>
              <w:t>生产设备安全卫生设计总则</w:t>
            </w:r>
            <w:r>
              <w:rPr>
                <w:rFonts w:hint="eastAsia" w:ascii="宋体" w:hAnsi="宋体" w:eastAsia="宋体" w:cs="宋体"/>
                <w:color w:val="auto"/>
                <w:kern w:val="0"/>
                <w:sz w:val="21"/>
                <w:szCs w:val="21"/>
              </w:rPr>
              <w:t>》</w:t>
            </w:r>
          </w:p>
        </w:tc>
        <w:tc>
          <w:tcPr>
            <w:tcW w:w="191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有防雷接地装置</w:t>
            </w:r>
          </w:p>
        </w:tc>
        <w:tc>
          <w:tcPr>
            <w:tcW w:w="920" w:type="dxa"/>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bl>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检查表明，该项目常规防护设施符合要求。</w:t>
      </w:r>
    </w:p>
    <w:p>
      <w:pPr>
        <w:pStyle w:val="7"/>
        <w:pageBreakBefore w:val="0"/>
        <w:kinsoku/>
        <w:wordWrap/>
        <w:overflowPunct/>
        <w:topLinePunct w:val="0"/>
        <w:autoSpaceDE/>
        <w:autoSpaceDN/>
        <w:bidi w:val="0"/>
        <w:spacing w:line="600" w:lineRule="exact"/>
        <w:textAlignment w:val="auto"/>
        <w:rPr>
          <w:rFonts w:hint="eastAsia" w:ascii="宋体" w:hAnsi="宋体" w:eastAsia="宋体" w:cs="宋体"/>
          <w:color w:val="auto"/>
          <w:sz w:val="28"/>
          <w:szCs w:val="28"/>
        </w:rPr>
      </w:pPr>
      <w:bookmarkStart w:id="544" w:name="_Toc350506801"/>
      <w:bookmarkStart w:id="545" w:name="_Toc13741"/>
      <w:bookmarkStart w:id="546" w:name="_Toc17236"/>
      <w:bookmarkStart w:id="547" w:name="_Toc18881"/>
      <w:bookmarkStart w:id="548" w:name="_Toc11900"/>
      <w:bookmarkStart w:id="549" w:name="_Toc486427816"/>
      <w:bookmarkStart w:id="550" w:name="_Toc21782"/>
      <w:r>
        <w:rPr>
          <w:rFonts w:hint="eastAsia" w:ascii="宋体" w:hAnsi="宋体" w:eastAsia="宋体" w:cs="宋体"/>
          <w:color w:val="auto"/>
          <w:sz w:val="28"/>
          <w:szCs w:val="28"/>
        </w:rPr>
        <w:t>7.3工艺、设备设施安全</w:t>
      </w:r>
      <w:bookmarkEnd w:id="544"/>
      <w:r>
        <w:rPr>
          <w:rFonts w:hint="eastAsia" w:ascii="宋体" w:hAnsi="宋体" w:eastAsia="宋体" w:cs="宋体"/>
          <w:color w:val="auto"/>
          <w:sz w:val="28"/>
          <w:szCs w:val="28"/>
        </w:rPr>
        <w:t>评价</w:t>
      </w:r>
      <w:bookmarkEnd w:id="545"/>
      <w:bookmarkEnd w:id="546"/>
      <w:bookmarkEnd w:id="547"/>
      <w:bookmarkEnd w:id="548"/>
      <w:bookmarkEnd w:id="549"/>
      <w:bookmarkEnd w:id="550"/>
    </w:p>
    <w:p>
      <w:pPr>
        <w:rPr>
          <w:rFonts w:hint="eastAsia" w:ascii="宋体" w:hAnsi="宋体" w:eastAsia="宋体" w:cs="宋体"/>
          <w:b/>
          <w:bCs/>
          <w:color w:val="auto"/>
          <w:szCs w:val="28"/>
        </w:rPr>
      </w:pPr>
      <w:r>
        <w:rPr>
          <w:rFonts w:hint="eastAsia" w:ascii="宋体" w:hAnsi="宋体" w:eastAsia="宋体" w:cs="宋体"/>
          <w:b/>
          <w:bCs/>
          <w:color w:val="auto"/>
          <w:szCs w:val="28"/>
        </w:rPr>
        <w:br w:type="page"/>
      </w:r>
    </w:p>
    <w:p>
      <w:pPr>
        <w:pageBreakBefore w:val="0"/>
        <w:kinsoku/>
        <w:wordWrap/>
        <w:overflowPunct/>
        <w:topLinePunct w:val="0"/>
        <w:autoSpaceDE/>
        <w:autoSpaceDN/>
        <w:bidi w:val="0"/>
        <w:spacing w:line="600" w:lineRule="exact"/>
        <w:jc w:val="center"/>
        <w:textAlignment w:val="auto"/>
        <w:rPr>
          <w:rFonts w:hint="eastAsia" w:ascii="宋体" w:hAnsi="宋体" w:eastAsia="宋体" w:cs="宋体"/>
          <w:b/>
          <w:bCs/>
          <w:color w:val="auto"/>
          <w:szCs w:val="28"/>
        </w:rPr>
      </w:pPr>
      <w:r>
        <w:rPr>
          <w:rFonts w:hint="eastAsia" w:ascii="宋体" w:hAnsi="宋体" w:eastAsia="宋体" w:cs="宋体"/>
          <w:b/>
          <w:bCs/>
          <w:color w:val="auto"/>
          <w:szCs w:val="28"/>
        </w:rPr>
        <w:t>表7-3 生产设施与设备安全检查表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3532"/>
        <w:gridCol w:w="2516"/>
        <w:gridCol w:w="1713"/>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adjustRightInd w:val="0"/>
              <w:snapToGrid w:val="0"/>
              <w:spacing w:line="28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3532" w:type="dxa"/>
            <w:vAlign w:val="center"/>
          </w:tcPr>
          <w:p>
            <w:pPr>
              <w:adjustRightInd w:val="0"/>
              <w:snapToGrid w:val="0"/>
              <w:spacing w:line="28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检查内容</w:t>
            </w:r>
          </w:p>
        </w:tc>
        <w:tc>
          <w:tcPr>
            <w:tcW w:w="2516" w:type="dxa"/>
            <w:vAlign w:val="center"/>
          </w:tcPr>
          <w:p>
            <w:pPr>
              <w:adjustRightInd w:val="0"/>
              <w:snapToGrid w:val="0"/>
              <w:spacing w:line="28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检查依据</w:t>
            </w:r>
          </w:p>
        </w:tc>
        <w:tc>
          <w:tcPr>
            <w:tcW w:w="1713" w:type="dxa"/>
            <w:vAlign w:val="center"/>
          </w:tcPr>
          <w:p>
            <w:pPr>
              <w:adjustRightInd w:val="0"/>
              <w:snapToGrid w:val="0"/>
              <w:spacing w:line="28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检查结果</w:t>
            </w:r>
          </w:p>
        </w:tc>
        <w:tc>
          <w:tcPr>
            <w:tcW w:w="849" w:type="dxa"/>
            <w:vAlign w:val="center"/>
          </w:tcPr>
          <w:p>
            <w:pPr>
              <w:adjustRightInd w:val="0"/>
              <w:snapToGrid w:val="0"/>
              <w:spacing w:line="28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532" w:type="dxa"/>
            <w:vAlign w:val="center"/>
          </w:tcPr>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不使用有国家明令淘汰的设备、设</w:t>
            </w:r>
          </w:p>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施。</w:t>
            </w:r>
          </w:p>
        </w:tc>
        <w:tc>
          <w:tcPr>
            <w:tcW w:w="2516"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《安全生产法》</w:t>
            </w:r>
          </w:p>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"http://www.gov.cn/gzdt/att/att/site1/20110426/001e3741a2cc0f20bacd01.pdf" \t "_blank" \o "http://www.gov.cn/gzdt/att/att/site1/20110426/001e3741a2cc0f20bacd01.pdf"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产业结构调整指导目录（2019年修正本）</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w:t>
            </w:r>
          </w:p>
        </w:tc>
        <w:tc>
          <w:tcPr>
            <w:tcW w:w="1713"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未使用</w:t>
            </w:r>
          </w:p>
        </w:tc>
        <w:tc>
          <w:tcPr>
            <w:tcW w:w="849"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3532"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生产设备及其零部件，必须有足够的</w:t>
            </w:r>
          </w:p>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强度、刚度、稳定性和可靠性。</w:t>
            </w:r>
          </w:p>
        </w:tc>
        <w:tc>
          <w:tcPr>
            <w:tcW w:w="2516" w:type="dxa"/>
            <w:vAlign w:val="center"/>
          </w:tcPr>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《生产设备安全卫生设计总则》第 4.1款</w:t>
            </w:r>
          </w:p>
        </w:tc>
        <w:tc>
          <w:tcPr>
            <w:tcW w:w="1713"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符合要求</w:t>
            </w:r>
          </w:p>
        </w:tc>
        <w:tc>
          <w:tcPr>
            <w:tcW w:w="849"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3532"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在规定使用期限内、生产、贮存设备及管道必须满足使用环境要求，特别是满足防腐、耐磨损、疲劳、抗老化</w:t>
            </w:r>
          </w:p>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和抵御失效的要求。</w:t>
            </w:r>
          </w:p>
        </w:tc>
        <w:tc>
          <w:tcPr>
            <w:tcW w:w="2516" w:type="dxa"/>
            <w:vAlign w:val="center"/>
          </w:tcPr>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《生产设备安全卫生设计总则》第 5.1款</w:t>
            </w:r>
          </w:p>
        </w:tc>
        <w:tc>
          <w:tcPr>
            <w:tcW w:w="1713"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满足要求</w:t>
            </w:r>
          </w:p>
        </w:tc>
        <w:tc>
          <w:tcPr>
            <w:tcW w:w="849"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3532"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禁止使用能与工作介质反应而造成</w:t>
            </w:r>
          </w:p>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危害的材料。</w:t>
            </w:r>
          </w:p>
        </w:tc>
        <w:tc>
          <w:tcPr>
            <w:tcW w:w="2516" w:type="dxa"/>
            <w:vAlign w:val="center"/>
          </w:tcPr>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《生产设备安全卫生设计总则》第5.2.5款</w:t>
            </w:r>
          </w:p>
        </w:tc>
        <w:tc>
          <w:tcPr>
            <w:tcW w:w="1713"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符合要求</w:t>
            </w:r>
          </w:p>
        </w:tc>
        <w:tc>
          <w:tcPr>
            <w:tcW w:w="849"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3532"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生产设备不应在振动、风载或其他可预见的外载作用下倾覆或产生允许</w:t>
            </w:r>
          </w:p>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范围外的活动。</w:t>
            </w:r>
          </w:p>
        </w:tc>
        <w:tc>
          <w:tcPr>
            <w:tcW w:w="2516" w:type="dxa"/>
            <w:vAlign w:val="center"/>
          </w:tcPr>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《生产设备安全卫生设计总则》第5.3.1款</w:t>
            </w:r>
          </w:p>
        </w:tc>
        <w:tc>
          <w:tcPr>
            <w:tcW w:w="1713"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可防震、防</w:t>
            </w:r>
          </w:p>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风，符合规定</w:t>
            </w:r>
          </w:p>
        </w:tc>
        <w:tc>
          <w:tcPr>
            <w:tcW w:w="849"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3532"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在不影响使用功能的情况下，生产设备可被人接触到的部分及其零部件应设计成不带易伤人的锐角、利棱、</w:t>
            </w:r>
          </w:p>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凹凸不平的表面和较突出部位。</w:t>
            </w:r>
          </w:p>
        </w:tc>
        <w:tc>
          <w:tcPr>
            <w:tcW w:w="2516" w:type="dxa"/>
            <w:vAlign w:val="center"/>
          </w:tcPr>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《生产设备安全卫生设计总则》第 5.4款</w:t>
            </w:r>
          </w:p>
        </w:tc>
        <w:tc>
          <w:tcPr>
            <w:tcW w:w="1713"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无锐角、利棱、凹凸不平的表面和</w:t>
            </w:r>
          </w:p>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较突出部位</w:t>
            </w:r>
          </w:p>
        </w:tc>
        <w:tc>
          <w:tcPr>
            <w:tcW w:w="849"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28"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3532"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厂房内的设备和管道必须采取有效的密封措施,防止物料发生跑、冒、</w:t>
            </w:r>
          </w:p>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滴、漏，杜绝无组织排放。</w:t>
            </w:r>
          </w:p>
        </w:tc>
        <w:tc>
          <w:tcPr>
            <w:tcW w:w="2516" w:type="dxa"/>
            <w:vAlign w:val="center"/>
          </w:tcPr>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《工业企业设计卫生标准》第5.1.22</w:t>
            </w:r>
          </w:p>
        </w:tc>
        <w:tc>
          <w:tcPr>
            <w:tcW w:w="1713"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设备和管道密封较好，个别点漏能及时处理</w:t>
            </w:r>
          </w:p>
        </w:tc>
        <w:tc>
          <w:tcPr>
            <w:tcW w:w="849"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28"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3532"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爆炸和火灾危险场所使用的电气设备必须符合相应的防爆等级，仪器、仪表必须具有与之配套使用的电气</w:t>
            </w:r>
          </w:p>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设备相适应的防爆等级。</w:t>
            </w:r>
          </w:p>
        </w:tc>
        <w:tc>
          <w:tcPr>
            <w:tcW w:w="2516"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《生产设备安全卫生设计总则》第5.4.2款</w:t>
            </w:r>
          </w:p>
        </w:tc>
        <w:tc>
          <w:tcPr>
            <w:tcW w:w="1713"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采用</w:t>
            </w:r>
            <w:r>
              <w:rPr>
                <w:rFonts w:hint="eastAsia" w:ascii="宋体" w:hAnsi="宋体" w:eastAsia="宋体" w:cs="宋体"/>
                <w:color w:val="auto"/>
                <w:sz w:val="21"/>
                <w:szCs w:val="21"/>
                <w:lang w:val="en-US" w:eastAsia="zh-CN"/>
              </w:rPr>
              <w:t>钢管</w:t>
            </w:r>
            <w:r>
              <w:rPr>
                <w:rFonts w:hint="eastAsia" w:ascii="宋体" w:hAnsi="宋体" w:eastAsia="宋体" w:cs="宋体"/>
                <w:color w:val="auto"/>
                <w:sz w:val="21"/>
                <w:szCs w:val="21"/>
              </w:rPr>
              <w:t>敷设</w:t>
            </w:r>
          </w:p>
        </w:tc>
        <w:tc>
          <w:tcPr>
            <w:tcW w:w="849"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28"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3532" w:type="dxa"/>
            <w:vAlign w:val="center"/>
          </w:tcPr>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生产设备必须保证操作点和操作区域有足够的照明，但要避免各种频闪</w:t>
            </w:r>
          </w:p>
          <w:p>
            <w:pPr>
              <w:adjustRightInd w:val="0"/>
              <w:snapToGri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效应和眩光现象。</w:t>
            </w:r>
          </w:p>
        </w:tc>
        <w:tc>
          <w:tcPr>
            <w:tcW w:w="2516"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《生产设备安全卫生设计总则》第5.8.1款</w:t>
            </w:r>
          </w:p>
        </w:tc>
        <w:tc>
          <w:tcPr>
            <w:tcW w:w="1713"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采光照明符合要求</w:t>
            </w:r>
          </w:p>
        </w:tc>
        <w:tc>
          <w:tcPr>
            <w:tcW w:w="849" w:type="dxa"/>
            <w:vAlign w:val="center"/>
          </w:tcPr>
          <w:p>
            <w:pPr>
              <w:adjustRightInd w:val="0"/>
              <w:snapToGrid w:val="0"/>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bl>
    <w:p>
      <w:pPr>
        <w:pageBreakBefore w:val="0"/>
        <w:kinsoku/>
        <w:wordWrap/>
        <w:overflowPunct/>
        <w:topLinePunct w:val="0"/>
        <w:autoSpaceDE/>
        <w:autoSpaceDN/>
        <w:bidi w:val="0"/>
        <w:spacing w:line="600" w:lineRule="exact"/>
        <w:ind w:firstLine="548" w:firstLineChars="196"/>
        <w:textAlignment w:val="auto"/>
        <w:rPr>
          <w:rFonts w:hint="eastAsia" w:ascii="宋体" w:hAnsi="宋体" w:eastAsia="宋体" w:cs="宋体"/>
          <w:color w:val="auto"/>
          <w:szCs w:val="28"/>
        </w:rPr>
      </w:pPr>
      <w:r>
        <w:rPr>
          <w:rFonts w:hint="eastAsia" w:ascii="宋体" w:hAnsi="宋体" w:eastAsia="宋体" w:cs="宋体"/>
          <w:color w:val="auto"/>
          <w:szCs w:val="28"/>
        </w:rPr>
        <w:t>检查表明，该项目的工艺、设备设施安全符合要求。</w:t>
      </w:r>
    </w:p>
    <w:p>
      <w:pPr>
        <w:pStyle w:val="7"/>
        <w:pageBreakBefore w:val="0"/>
        <w:kinsoku/>
        <w:wordWrap/>
        <w:overflowPunct/>
        <w:topLinePunct w:val="0"/>
        <w:autoSpaceDE/>
        <w:autoSpaceDN/>
        <w:bidi w:val="0"/>
        <w:spacing w:line="600" w:lineRule="exact"/>
        <w:textAlignment w:val="auto"/>
        <w:rPr>
          <w:rFonts w:hint="eastAsia" w:ascii="宋体" w:hAnsi="宋体" w:eastAsia="宋体" w:cs="宋体"/>
          <w:color w:val="auto"/>
          <w:sz w:val="30"/>
          <w:szCs w:val="30"/>
          <w:lang w:val="en-US" w:eastAsia="zh-CN"/>
        </w:rPr>
      </w:pPr>
      <w:bookmarkStart w:id="551" w:name="_Toc13965"/>
      <w:bookmarkStart w:id="552" w:name="_Toc25314"/>
      <w:bookmarkStart w:id="553" w:name="_Toc17668"/>
      <w:bookmarkStart w:id="554" w:name="_Toc15495"/>
      <w:bookmarkStart w:id="555" w:name="_Toc486427820"/>
      <w:bookmarkStart w:id="556" w:name="_Toc25334"/>
      <w:r>
        <w:rPr>
          <w:rFonts w:hint="eastAsia" w:ascii="宋体" w:hAnsi="宋体" w:eastAsia="宋体" w:cs="宋体"/>
          <w:color w:val="auto"/>
          <w:sz w:val="30"/>
          <w:szCs w:val="30"/>
          <w:lang w:val="en-US" w:eastAsia="zh-CN"/>
        </w:rPr>
        <w:t>7.4防火间距、耐火等级、面积评价</w:t>
      </w:r>
      <w:bookmarkEnd w:id="551"/>
    </w:p>
    <w:p>
      <w:pPr>
        <w:pageBreakBefore w:val="0"/>
        <w:kinsoku/>
        <w:wordWrap/>
        <w:overflowPunct/>
        <w:topLinePunct w:val="0"/>
        <w:autoSpaceDE/>
        <w:autoSpaceDN/>
        <w:bidi w:val="0"/>
        <w:spacing w:line="600" w:lineRule="exact"/>
        <w:jc w:val="both"/>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1、防火间距</w:t>
      </w:r>
    </w:p>
    <w:p>
      <w:pPr>
        <w:rPr>
          <w:rFonts w:hint="eastAsia" w:ascii="宋体" w:hAnsi="宋体" w:eastAsia="宋体" w:cs="宋体"/>
          <w:color w:val="auto"/>
        </w:rPr>
      </w:pPr>
      <w:r>
        <w:rPr>
          <w:rFonts w:hint="eastAsia" w:ascii="宋体" w:hAnsi="宋体" w:eastAsia="宋体" w:cs="宋体"/>
          <w:color w:val="auto"/>
        </w:rPr>
        <w:br w:type="page"/>
      </w:r>
    </w:p>
    <w:p>
      <w:pPr>
        <w:pageBreakBefore w:val="0"/>
        <w:kinsoku/>
        <w:wordWrap/>
        <w:overflowPunct/>
        <w:topLinePunct w:val="0"/>
        <w:autoSpaceDE/>
        <w:autoSpaceDN/>
        <w:bidi w:val="0"/>
        <w:spacing w:line="600" w:lineRule="exact"/>
        <w:jc w:val="center"/>
        <w:textAlignment w:val="auto"/>
        <w:rPr>
          <w:rFonts w:hint="eastAsia" w:ascii="宋体" w:hAnsi="宋体" w:eastAsia="宋体" w:cs="宋体"/>
          <w:color w:val="auto"/>
        </w:rPr>
      </w:pPr>
      <w:r>
        <w:rPr>
          <w:rFonts w:hint="eastAsia" w:ascii="宋体" w:hAnsi="宋体" w:eastAsia="宋体" w:cs="宋体"/>
          <w:color w:val="auto"/>
        </w:rPr>
        <w:t>表</w:t>
      </w:r>
      <w:r>
        <w:rPr>
          <w:rFonts w:hint="eastAsia" w:ascii="宋体" w:hAnsi="宋体" w:eastAsia="宋体" w:cs="宋体"/>
          <w:color w:val="auto"/>
          <w:lang w:val="en-US" w:eastAsia="zh-CN"/>
        </w:rPr>
        <w:t>7-4</w:t>
      </w:r>
      <w:r>
        <w:rPr>
          <w:rFonts w:hint="eastAsia" w:ascii="宋体" w:hAnsi="宋体" w:eastAsia="宋体" w:cs="宋体"/>
          <w:color w:val="auto"/>
        </w:rPr>
        <w:t xml:space="preserve"> 建（构）筑物安全间距一览表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9"/>
        <w:gridCol w:w="687"/>
        <w:gridCol w:w="633"/>
        <w:gridCol w:w="600"/>
        <w:gridCol w:w="445"/>
        <w:gridCol w:w="1799"/>
        <w:gridCol w:w="851"/>
        <w:gridCol w:w="689"/>
        <w:gridCol w:w="670"/>
        <w:gridCol w:w="792"/>
        <w:gridCol w:w="790"/>
        <w:gridCol w:w="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项目</w:t>
            </w:r>
          </w:p>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编号</w:t>
            </w:r>
          </w:p>
        </w:tc>
        <w:tc>
          <w:tcPr>
            <w:tcW w:w="370"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名称</w:t>
            </w:r>
          </w:p>
        </w:tc>
        <w:tc>
          <w:tcPr>
            <w:tcW w:w="341"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火灾类别</w:t>
            </w:r>
          </w:p>
        </w:tc>
        <w:tc>
          <w:tcPr>
            <w:tcW w:w="323"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耐火等级</w:t>
            </w:r>
          </w:p>
        </w:tc>
        <w:tc>
          <w:tcPr>
            <w:tcW w:w="1208" w:type="pct"/>
            <w:gridSpan w:val="2"/>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相邻建（构）筑物</w:t>
            </w:r>
          </w:p>
        </w:tc>
        <w:tc>
          <w:tcPr>
            <w:tcW w:w="45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火灾类别</w:t>
            </w:r>
          </w:p>
        </w:tc>
        <w:tc>
          <w:tcPr>
            <w:tcW w:w="371"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耐火</w:t>
            </w:r>
          </w:p>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等级</w:t>
            </w:r>
          </w:p>
        </w:tc>
        <w:tc>
          <w:tcPr>
            <w:tcW w:w="35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设间距（</w:t>
            </w:r>
            <w:r>
              <w:rPr>
                <w:rFonts w:hint="eastAsia" w:ascii="宋体" w:hAnsi="宋体" w:eastAsia="宋体" w:cs="宋体"/>
                <w:b/>
                <w:bCs/>
                <w:color w:val="auto"/>
                <w:sz w:val="18"/>
                <w:szCs w:val="18"/>
              </w:rPr>
              <w:t>m</w:t>
            </w:r>
            <w:r>
              <w:rPr>
                <w:rFonts w:hint="eastAsia" w:ascii="宋体" w:hAnsi="宋体" w:eastAsia="宋体" w:cs="宋体"/>
                <w:b/>
                <w:bCs/>
                <w:color w:val="auto"/>
                <w:sz w:val="18"/>
                <w:szCs w:val="18"/>
              </w:rPr>
              <w:t>）</w:t>
            </w:r>
          </w:p>
        </w:tc>
        <w:tc>
          <w:tcPr>
            <w:tcW w:w="42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要求间距（</w:t>
            </w:r>
            <w:r>
              <w:rPr>
                <w:rFonts w:hint="eastAsia" w:ascii="宋体" w:hAnsi="宋体" w:eastAsia="宋体" w:cs="宋体"/>
                <w:b/>
                <w:bCs/>
                <w:color w:val="auto"/>
                <w:sz w:val="18"/>
                <w:szCs w:val="18"/>
              </w:rPr>
              <w:t>m</w:t>
            </w:r>
            <w:r>
              <w:rPr>
                <w:rFonts w:hint="eastAsia" w:ascii="宋体" w:hAnsi="宋体" w:eastAsia="宋体" w:cs="宋体"/>
                <w:b/>
                <w:bCs/>
                <w:color w:val="auto"/>
                <w:sz w:val="18"/>
                <w:szCs w:val="18"/>
              </w:rPr>
              <w:t>）</w:t>
            </w:r>
          </w:p>
        </w:tc>
        <w:tc>
          <w:tcPr>
            <w:tcW w:w="425"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规范</w:t>
            </w:r>
          </w:p>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条款</w:t>
            </w:r>
          </w:p>
        </w:tc>
        <w:tc>
          <w:tcPr>
            <w:tcW w:w="34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371" w:type="pct"/>
            <w:vMerge w:val="restart"/>
            <w:tcBorders>
              <w:top w:val="nil"/>
              <w:left w:val="single" w:color="000000" w:sz="4" w:space="0"/>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color w:val="auto"/>
                <w:sz w:val="18"/>
                <w:szCs w:val="18"/>
              </w:rPr>
              <w:t>101</w:t>
            </w:r>
          </w:p>
        </w:tc>
        <w:tc>
          <w:tcPr>
            <w:tcW w:w="370" w:type="pct"/>
            <w:vMerge w:val="restart"/>
            <w:tcBorders>
              <w:top w:val="nil"/>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color w:val="auto"/>
                <w:sz w:val="18"/>
                <w:szCs w:val="18"/>
              </w:rPr>
              <w:t>外延芯片厂房</w:t>
            </w:r>
          </w:p>
        </w:tc>
        <w:tc>
          <w:tcPr>
            <w:tcW w:w="341" w:type="pct"/>
            <w:vMerge w:val="restart"/>
            <w:tcBorders>
              <w:top w:val="nil"/>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color w:val="auto"/>
                <w:sz w:val="18"/>
                <w:szCs w:val="18"/>
              </w:rPr>
              <w:t>丙</w:t>
            </w:r>
          </w:p>
        </w:tc>
        <w:tc>
          <w:tcPr>
            <w:tcW w:w="323" w:type="pct"/>
            <w:vMerge w:val="restart"/>
            <w:tcBorders>
              <w:top w:val="nil"/>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color w:val="auto"/>
                <w:sz w:val="18"/>
                <w:szCs w:val="18"/>
              </w:rPr>
              <w:t>一级</w:t>
            </w:r>
          </w:p>
        </w:tc>
        <w:tc>
          <w:tcPr>
            <w:tcW w:w="240"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color w:val="auto"/>
                <w:sz w:val="18"/>
                <w:szCs w:val="18"/>
              </w:rPr>
              <w:t>东</w:t>
            </w:r>
          </w:p>
        </w:tc>
        <w:tc>
          <w:tcPr>
            <w:tcW w:w="96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厂内主要道路</w:t>
            </w:r>
          </w:p>
        </w:tc>
        <w:tc>
          <w:tcPr>
            <w:tcW w:w="45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371"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35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7.50</w:t>
            </w:r>
          </w:p>
        </w:tc>
        <w:tc>
          <w:tcPr>
            <w:tcW w:w="42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5.0</w:t>
            </w:r>
          </w:p>
        </w:tc>
        <w:tc>
          <w:tcPr>
            <w:tcW w:w="425"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34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371" w:type="pct"/>
            <w:vMerge w:val="continue"/>
            <w:tcBorders>
              <w:top w:val="nil"/>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370"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341"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323"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240"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color w:val="auto"/>
                <w:sz w:val="18"/>
                <w:szCs w:val="18"/>
              </w:rPr>
              <w:t>南</w:t>
            </w:r>
          </w:p>
        </w:tc>
        <w:tc>
          <w:tcPr>
            <w:tcW w:w="96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氢气系统</w:t>
            </w:r>
          </w:p>
        </w:tc>
        <w:tc>
          <w:tcPr>
            <w:tcW w:w="45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甲</w:t>
            </w:r>
          </w:p>
        </w:tc>
        <w:tc>
          <w:tcPr>
            <w:tcW w:w="371"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一级</w:t>
            </w:r>
          </w:p>
        </w:tc>
        <w:tc>
          <w:tcPr>
            <w:tcW w:w="35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29.55</w:t>
            </w:r>
          </w:p>
        </w:tc>
        <w:tc>
          <w:tcPr>
            <w:tcW w:w="42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w:t>
            </w:r>
          </w:p>
        </w:tc>
        <w:tc>
          <w:tcPr>
            <w:tcW w:w="425"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3.4.1</w:t>
            </w:r>
          </w:p>
        </w:tc>
        <w:tc>
          <w:tcPr>
            <w:tcW w:w="34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371" w:type="pct"/>
            <w:vMerge w:val="continue"/>
            <w:tcBorders>
              <w:top w:val="nil"/>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370"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341"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323"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240"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color w:val="auto"/>
                <w:sz w:val="18"/>
                <w:szCs w:val="18"/>
              </w:rPr>
              <w:t>西</w:t>
            </w:r>
          </w:p>
        </w:tc>
        <w:tc>
          <w:tcPr>
            <w:tcW w:w="96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废水站及废水池</w:t>
            </w:r>
          </w:p>
        </w:tc>
        <w:tc>
          <w:tcPr>
            <w:tcW w:w="45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丁</w:t>
            </w:r>
          </w:p>
        </w:tc>
        <w:tc>
          <w:tcPr>
            <w:tcW w:w="371"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二级</w:t>
            </w:r>
          </w:p>
        </w:tc>
        <w:tc>
          <w:tcPr>
            <w:tcW w:w="35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18.75</w:t>
            </w:r>
          </w:p>
        </w:tc>
        <w:tc>
          <w:tcPr>
            <w:tcW w:w="42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425"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3.4.1</w:t>
            </w:r>
          </w:p>
        </w:tc>
        <w:tc>
          <w:tcPr>
            <w:tcW w:w="34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371" w:type="pct"/>
            <w:vMerge w:val="continue"/>
            <w:tcBorders>
              <w:top w:val="nil"/>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370"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341"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323"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240" w:type="pct"/>
            <w:vMerge w:val="restart"/>
            <w:tcBorders>
              <w:top w:val="nil"/>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b/>
                <w:bCs/>
                <w:color w:val="auto"/>
                <w:sz w:val="18"/>
                <w:szCs w:val="18"/>
              </w:rPr>
            </w:pPr>
            <w:r>
              <w:rPr>
                <w:rFonts w:hint="eastAsia" w:ascii="宋体" w:hAnsi="宋体" w:eastAsia="宋体" w:cs="宋体"/>
                <w:color w:val="auto"/>
                <w:sz w:val="18"/>
                <w:szCs w:val="18"/>
              </w:rPr>
              <w:t>北</w:t>
            </w:r>
          </w:p>
        </w:tc>
        <w:tc>
          <w:tcPr>
            <w:tcW w:w="96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硅烷站</w:t>
            </w:r>
          </w:p>
        </w:tc>
        <w:tc>
          <w:tcPr>
            <w:tcW w:w="45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甲</w:t>
            </w:r>
            <w:r>
              <w:rPr>
                <w:rFonts w:hint="eastAsia" w:ascii="宋体" w:hAnsi="宋体" w:eastAsia="宋体" w:cs="宋体"/>
                <w:color w:val="auto"/>
                <w:sz w:val="18"/>
                <w:szCs w:val="18"/>
              </w:rPr>
              <w:t>34</w:t>
            </w:r>
          </w:p>
        </w:tc>
        <w:tc>
          <w:tcPr>
            <w:tcW w:w="371"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一级</w:t>
            </w:r>
          </w:p>
        </w:tc>
        <w:tc>
          <w:tcPr>
            <w:tcW w:w="35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29.95</w:t>
            </w:r>
          </w:p>
        </w:tc>
        <w:tc>
          <w:tcPr>
            <w:tcW w:w="42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425"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3.5.1</w:t>
            </w:r>
          </w:p>
        </w:tc>
        <w:tc>
          <w:tcPr>
            <w:tcW w:w="34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371" w:type="pct"/>
            <w:vMerge w:val="continue"/>
            <w:tcBorders>
              <w:top w:val="nil"/>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370"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341"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323"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240"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b/>
                <w:bCs/>
                <w:color w:val="auto"/>
                <w:sz w:val="18"/>
                <w:szCs w:val="18"/>
              </w:rPr>
            </w:pPr>
          </w:p>
        </w:tc>
        <w:tc>
          <w:tcPr>
            <w:tcW w:w="96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甲类库二</w:t>
            </w:r>
          </w:p>
        </w:tc>
        <w:tc>
          <w:tcPr>
            <w:tcW w:w="45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甲</w:t>
            </w:r>
            <w:r>
              <w:rPr>
                <w:rFonts w:hint="eastAsia" w:ascii="宋体" w:hAnsi="宋体" w:eastAsia="宋体" w:cs="宋体"/>
                <w:color w:val="auto"/>
                <w:sz w:val="18"/>
                <w:szCs w:val="18"/>
              </w:rPr>
              <w:t>1256</w:t>
            </w:r>
          </w:p>
        </w:tc>
        <w:tc>
          <w:tcPr>
            <w:tcW w:w="371"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二级</w:t>
            </w:r>
          </w:p>
        </w:tc>
        <w:tc>
          <w:tcPr>
            <w:tcW w:w="35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29.95</w:t>
            </w:r>
          </w:p>
        </w:tc>
        <w:tc>
          <w:tcPr>
            <w:tcW w:w="42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425"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3.5.1</w:t>
            </w:r>
          </w:p>
        </w:tc>
        <w:tc>
          <w:tcPr>
            <w:tcW w:w="34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371" w:type="pct"/>
            <w:vMerge w:val="restart"/>
            <w:tcBorders>
              <w:top w:val="nil"/>
              <w:left w:val="single" w:color="000000" w:sz="4" w:space="0"/>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115</w:t>
            </w:r>
          </w:p>
        </w:tc>
        <w:tc>
          <w:tcPr>
            <w:tcW w:w="370" w:type="pct"/>
            <w:vMerge w:val="restart"/>
            <w:tcBorders>
              <w:top w:val="nil"/>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废气车间</w:t>
            </w:r>
          </w:p>
        </w:tc>
        <w:tc>
          <w:tcPr>
            <w:tcW w:w="341" w:type="pct"/>
            <w:vMerge w:val="restart"/>
            <w:tcBorders>
              <w:top w:val="nil"/>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乙</w:t>
            </w:r>
          </w:p>
        </w:tc>
        <w:tc>
          <w:tcPr>
            <w:tcW w:w="323" w:type="pct"/>
            <w:vMerge w:val="restart"/>
            <w:tcBorders>
              <w:top w:val="nil"/>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二级</w:t>
            </w:r>
          </w:p>
        </w:tc>
        <w:tc>
          <w:tcPr>
            <w:tcW w:w="240"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东</w:t>
            </w:r>
          </w:p>
        </w:tc>
        <w:tc>
          <w:tcPr>
            <w:tcW w:w="96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中控室</w:t>
            </w:r>
          </w:p>
        </w:tc>
        <w:tc>
          <w:tcPr>
            <w:tcW w:w="45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丙类</w:t>
            </w:r>
          </w:p>
        </w:tc>
        <w:tc>
          <w:tcPr>
            <w:tcW w:w="371"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二级</w:t>
            </w:r>
          </w:p>
        </w:tc>
        <w:tc>
          <w:tcPr>
            <w:tcW w:w="35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15.35</w:t>
            </w:r>
          </w:p>
        </w:tc>
        <w:tc>
          <w:tcPr>
            <w:tcW w:w="42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15</w:t>
            </w:r>
          </w:p>
        </w:tc>
        <w:tc>
          <w:tcPr>
            <w:tcW w:w="425"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石5.2.1</w:t>
            </w:r>
          </w:p>
        </w:tc>
        <w:tc>
          <w:tcPr>
            <w:tcW w:w="34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371" w:type="pct"/>
            <w:vMerge w:val="continue"/>
            <w:tcBorders>
              <w:top w:val="nil"/>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sz w:val="18"/>
                <w:szCs w:val="18"/>
              </w:rPr>
            </w:pPr>
          </w:p>
        </w:tc>
        <w:tc>
          <w:tcPr>
            <w:tcW w:w="370"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color w:val="auto"/>
                <w:sz w:val="18"/>
                <w:szCs w:val="18"/>
              </w:rPr>
            </w:pPr>
          </w:p>
        </w:tc>
        <w:tc>
          <w:tcPr>
            <w:tcW w:w="341"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color w:val="auto"/>
                <w:sz w:val="18"/>
                <w:szCs w:val="18"/>
              </w:rPr>
            </w:pPr>
          </w:p>
        </w:tc>
        <w:tc>
          <w:tcPr>
            <w:tcW w:w="323"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color w:val="auto"/>
                <w:sz w:val="18"/>
                <w:szCs w:val="18"/>
              </w:rPr>
            </w:pPr>
          </w:p>
        </w:tc>
        <w:tc>
          <w:tcPr>
            <w:tcW w:w="240"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南</w:t>
            </w:r>
          </w:p>
        </w:tc>
        <w:tc>
          <w:tcPr>
            <w:tcW w:w="96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氨气站</w:t>
            </w:r>
          </w:p>
        </w:tc>
        <w:tc>
          <w:tcPr>
            <w:tcW w:w="45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乙类</w:t>
            </w:r>
          </w:p>
        </w:tc>
        <w:tc>
          <w:tcPr>
            <w:tcW w:w="371"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二级</w:t>
            </w:r>
          </w:p>
        </w:tc>
        <w:tc>
          <w:tcPr>
            <w:tcW w:w="35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37.5</w:t>
            </w:r>
          </w:p>
        </w:tc>
        <w:tc>
          <w:tcPr>
            <w:tcW w:w="42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37.5</w:t>
            </w:r>
          </w:p>
        </w:tc>
        <w:tc>
          <w:tcPr>
            <w:tcW w:w="425"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4.3.7</w:t>
            </w:r>
          </w:p>
        </w:tc>
        <w:tc>
          <w:tcPr>
            <w:tcW w:w="34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371" w:type="pct"/>
            <w:vMerge w:val="continue"/>
            <w:tcBorders>
              <w:top w:val="nil"/>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sz w:val="18"/>
                <w:szCs w:val="18"/>
              </w:rPr>
            </w:pPr>
          </w:p>
        </w:tc>
        <w:tc>
          <w:tcPr>
            <w:tcW w:w="370"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color w:val="auto"/>
                <w:sz w:val="18"/>
                <w:szCs w:val="18"/>
              </w:rPr>
            </w:pPr>
          </w:p>
        </w:tc>
        <w:tc>
          <w:tcPr>
            <w:tcW w:w="341"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color w:val="auto"/>
                <w:sz w:val="18"/>
                <w:szCs w:val="18"/>
              </w:rPr>
            </w:pPr>
          </w:p>
        </w:tc>
        <w:tc>
          <w:tcPr>
            <w:tcW w:w="323"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color w:val="auto"/>
                <w:sz w:val="18"/>
                <w:szCs w:val="18"/>
              </w:rPr>
            </w:pPr>
          </w:p>
        </w:tc>
        <w:tc>
          <w:tcPr>
            <w:tcW w:w="240"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西</w:t>
            </w:r>
          </w:p>
        </w:tc>
        <w:tc>
          <w:tcPr>
            <w:tcW w:w="96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冷冻站</w:t>
            </w:r>
          </w:p>
        </w:tc>
        <w:tc>
          <w:tcPr>
            <w:tcW w:w="45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丁类</w:t>
            </w:r>
          </w:p>
        </w:tc>
        <w:tc>
          <w:tcPr>
            <w:tcW w:w="371"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二级</w:t>
            </w:r>
          </w:p>
        </w:tc>
        <w:tc>
          <w:tcPr>
            <w:tcW w:w="35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15.3</w:t>
            </w:r>
          </w:p>
        </w:tc>
        <w:tc>
          <w:tcPr>
            <w:tcW w:w="42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15</w:t>
            </w:r>
          </w:p>
        </w:tc>
        <w:tc>
          <w:tcPr>
            <w:tcW w:w="425"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石5.2.1</w:t>
            </w:r>
          </w:p>
        </w:tc>
        <w:tc>
          <w:tcPr>
            <w:tcW w:w="34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371" w:type="pct"/>
            <w:vMerge w:val="continue"/>
            <w:tcBorders>
              <w:top w:val="nil"/>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sz w:val="18"/>
                <w:szCs w:val="18"/>
              </w:rPr>
            </w:pPr>
          </w:p>
        </w:tc>
        <w:tc>
          <w:tcPr>
            <w:tcW w:w="370"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color w:val="auto"/>
                <w:sz w:val="18"/>
                <w:szCs w:val="18"/>
              </w:rPr>
            </w:pPr>
          </w:p>
        </w:tc>
        <w:tc>
          <w:tcPr>
            <w:tcW w:w="341"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color w:val="auto"/>
                <w:sz w:val="18"/>
                <w:szCs w:val="18"/>
              </w:rPr>
            </w:pPr>
          </w:p>
        </w:tc>
        <w:tc>
          <w:tcPr>
            <w:tcW w:w="323" w:type="pct"/>
            <w:vMerge w:val="continue"/>
            <w:tcBorders>
              <w:top w:val="nil"/>
              <w:left w:val="nil"/>
              <w:bottom w:val="single" w:color="000000" w:sz="4" w:space="0"/>
              <w:right w:val="single" w:color="000000" w:sz="4" w:space="0"/>
            </w:tcBorders>
            <w:noWrap w:val="0"/>
            <w:vAlign w:val="center"/>
          </w:tcPr>
          <w:p>
            <w:pPr>
              <w:widowControl/>
              <w:jc w:val="left"/>
              <w:rPr>
                <w:rFonts w:hint="eastAsia" w:ascii="宋体" w:hAnsi="宋体" w:eastAsia="宋体" w:cs="宋体"/>
                <w:color w:val="auto"/>
                <w:sz w:val="18"/>
                <w:szCs w:val="18"/>
              </w:rPr>
            </w:pPr>
          </w:p>
        </w:tc>
        <w:tc>
          <w:tcPr>
            <w:tcW w:w="240"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北</w:t>
            </w:r>
          </w:p>
        </w:tc>
        <w:tc>
          <w:tcPr>
            <w:tcW w:w="96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支路</w:t>
            </w:r>
          </w:p>
        </w:tc>
        <w:tc>
          <w:tcPr>
            <w:tcW w:w="458"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371"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35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42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5"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346" w:type="pct"/>
            <w:tcBorders>
              <w:top w:val="single" w:color="000000" w:sz="4" w:space="0"/>
              <w:left w:val="nil"/>
              <w:bottom w:val="single" w:color="000000" w:sz="4" w:space="0"/>
              <w:right w:val="single" w:color="000000" w:sz="4" w:space="0"/>
            </w:tcBorders>
            <w:noWrap w:val="0"/>
            <w:vAlign w:val="center"/>
          </w:tcPr>
          <w:p>
            <w:pPr>
              <w:adjustRightInd w:val="0"/>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符合</w:t>
            </w:r>
          </w:p>
        </w:tc>
      </w:tr>
    </w:tbl>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评价小结：建设项目各建构筑物防火间距检查符合要求。</w:t>
      </w:r>
    </w:p>
    <w:p>
      <w:pPr>
        <w:pageBreakBefore w:val="0"/>
        <w:kinsoku/>
        <w:wordWrap/>
        <w:overflowPunct/>
        <w:topLinePunct w:val="0"/>
        <w:autoSpaceDE/>
        <w:autoSpaceDN/>
        <w:bidi w:val="0"/>
        <w:adjustRightInd w:val="0"/>
        <w:snapToGrid w:val="0"/>
        <w:spacing w:line="60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耐火等级、层数、面积</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根据《建筑设计防火规范规范》GB50016-2014（2018版）编制耐火等级、层数、面积安全检查表。</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该企业的耐火等级、层数和防火分区建筑面积的符合性见下表。</w:t>
      </w:r>
    </w:p>
    <w:p>
      <w:pPr>
        <w:pageBreakBefore w:val="0"/>
        <w:kinsoku/>
        <w:wordWrap/>
        <w:overflowPunct/>
        <w:topLinePunct w:val="0"/>
        <w:autoSpaceDE/>
        <w:autoSpaceDN/>
        <w:bidi w:val="0"/>
        <w:spacing w:line="600" w:lineRule="exact"/>
        <w:jc w:val="center"/>
        <w:textAlignment w:val="auto"/>
        <w:rPr>
          <w:rFonts w:hint="eastAsia" w:ascii="宋体" w:hAnsi="宋体" w:eastAsia="宋体" w:cs="宋体"/>
          <w:color w:val="auto"/>
        </w:rPr>
      </w:pPr>
      <w:r>
        <w:rPr>
          <w:rFonts w:hint="eastAsia" w:ascii="宋体" w:hAnsi="宋体" w:eastAsia="宋体" w:cs="宋体"/>
          <w:color w:val="auto"/>
        </w:rPr>
        <w:t>表</w:t>
      </w:r>
      <w:r>
        <w:rPr>
          <w:rFonts w:hint="eastAsia" w:ascii="宋体" w:hAnsi="宋体" w:eastAsia="宋体" w:cs="宋体"/>
          <w:color w:val="auto"/>
          <w:lang w:val="en-US" w:eastAsia="zh-CN"/>
        </w:rPr>
        <w:t>7-5</w:t>
      </w:r>
      <w:r>
        <w:rPr>
          <w:rFonts w:hint="eastAsia" w:ascii="宋体" w:hAnsi="宋体" w:eastAsia="宋体" w:cs="宋体"/>
          <w:color w:val="auto"/>
        </w:rPr>
        <w:t xml:space="preserve"> 厂房（仓库）的耐火等级、层数、面积检查表</w:t>
      </w:r>
    </w:p>
    <w:tbl>
      <w:tblPr>
        <w:tblStyle w:val="28"/>
        <w:tblW w:w="947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916"/>
        <w:gridCol w:w="917"/>
        <w:gridCol w:w="917"/>
        <w:gridCol w:w="936"/>
        <w:gridCol w:w="673"/>
        <w:gridCol w:w="855"/>
        <w:gridCol w:w="825"/>
        <w:gridCol w:w="156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restart"/>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建</w:t>
            </w:r>
            <w:r>
              <w:rPr>
                <w:rFonts w:hint="eastAsia" w:ascii="宋体" w:hAnsi="宋体" w:eastAsia="宋体" w:cs="宋体"/>
                <w:b/>
                <w:bCs/>
                <w:color w:val="auto"/>
                <w:kern w:val="0"/>
                <w:sz w:val="18"/>
                <w:szCs w:val="18"/>
              </w:rPr>
              <w:t>(构)筑物名称</w:t>
            </w:r>
          </w:p>
        </w:tc>
        <w:tc>
          <w:tcPr>
            <w:tcW w:w="916" w:type="dxa"/>
            <w:vMerge w:val="restart"/>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火险类别</w:t>
            </w:r>
          </w:p>
        </w:tc>
        <w:tc>
          <w:tcPr>
            <w:tcW w:w="3443" w:type="dxa"/>
            <w:gridSpan w:val="4"/>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设情况</w:t>
            </w:r>
          </w:p>
        </w:tc>
        <w:tc>
          <w:tcPr>
            <w:tcW w:w="3240" w:type="dxa"/>
            <w:gridSpan w:val="3"/>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规范要求</w:t>
            </w:r>
          </w:p>
        </w:tc>
        <w:tc>
          <w:tcPr>
            <w:tcW w:w="960" w:type="dxa"/>
            <w:vMerge w:val="restart"/>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检查</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noWrap w:val="0"/>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bCs/>
                <w:color w:val="auto"/>
                <w:kern w:val="0"/>
                <w:sz w:val="18"/>
                <w:szCs w:val="18"/>
              </w:rPr>
            </w:pPr>
          </w:p>
        </w:tc>
        <w:tc>
          <w:tcPr>
            <w:tcW w:w="916" w:type="dxa"/>
            <w:vMerge w:val="continue"/>
            <w:noWrap w:val="0"/>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bCs/>
                <w:color w:val="auto"/>
                <w:kern w:val="0"/>
                <w:sz w:val="18"/>
                <w:szCs w:val="18"/>
              </w:rPr>
            </w:pPr>
          </w:p>
        </w:tc>
        <w:tc>
          <w:tcPr>
            <w:tcW w:w="917" w:type="dxa"/>
            <w:vMerge w:val="restart"/>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结构</w:t>
            </w:r>
          </w:p>
        </w:tc>
        <w:tc>
          <w:tcPr>
            <w:tcW w:w="917" w:type="dxa"/>
            <w:vMerge w:val="restart"/>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层数</w:t>
            </w:r>
          </w:p>
        </w:tc>
        <w:tc>
          <w:tcPr>
            <w:tcW w:w="936" w:type="dxa"/>
            <w:vMerge w:val="restart"/>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建筑面积</w:t>
            </w:r>
            <w:r>
              <w:rPr>
                <w:rFonts w:hint="eastAsia" w:ascii="宋体" w:hAnsi="宋体" w:eastAsia="宋体" w:cs="宋体"/>
                <w:b/>
                <w:bCs/>
                <w:color w:val="auto"/>
                <w:kern w:val="0"/>
                <w:sz w:val="18"/>
                <w:szCs w:val="18"/>
              </w:rPr>
              <w:t>(m2)</w:t>
            </w:r>
          </w:p>
        </w:tc>
        <w:tc>
          <w:tcPr>
            <w:tcW w:w="673"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耐火</w:t>
            </w:r>
          </w:p>
        </w:tc>
        <w:tc>
          <w:tcPr>
            <w:tcW w:w="855" w:type="dxa"/>
            <w:vMerge w:val="restart"/>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最低允许耐火等级</w:t>
            </w:r>
          </w:p>
        </w:tc>
        <w:tc>
          <w:tcPr>
            <w:tcW w:w="825" w:type="dxa"/>
            <w:vMerge w:val="restart"/>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最多允许层数</w:t>
            </w:r>
          </w:p>
        </w:tc>
        <w:tc>
          <w:tcPr>
            <w:tcW w:w="1560" w:type="dxa"/>
            <w:vMerge w:val="restart"/>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多层厂房每个防火分区的最大允许建筑面积</w:t>
            </w:r>
          </w:p>
        </w:tc>
        <w:tc>
          <w:tcPr>
            <w:tcW w:w="960" w:type="dxa"/>
            <w:vMerge w:val="continue"/>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noWrap w:val="0"/>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bCs/>
                <w:color w:val="auto"/>
                <w:kern w:val="0"/>
                <w:sz w:val="18"/>
                <w:szCs w:val="18"/>
              </w:rPr>
            </w:pPr>
          </w:p>
        </w:tc>
        <w:tc>
          <w:tcPr>
            <w:tcW w:w="916" w:type="dxa"/>
            <w:vMerge w:val="continue"/>
            <w:noWrap w:val="0"/>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bCs/>
                <w:color w:val="auto"/>
                <w:kern w:val="0"/>
                <w:sz w:val="18"/>
                <w:szCs w:val="18"/>
              </w:rPr>
            </w:pPr>
          </w:p>
        </w:tc>
        <w:tc>
          <w:tcPr>
            <w:tcW w:w="917" w:type="dxa"/>
            <w:vMerge w:val="continue"/>
            <w:noWrap w:val="0"/>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bCs/>
                <w:color w:val="auto"/>
                <w:kern w:val="0"/>
                <w:sz w:val="18"/>
                <w:szCs w:val="18"/>
              </w:rPr>
            </w:pPr>
          </w:p>
        </w:tc>
        <w:tc>
          <w:tcPr>
            <w:tcW w:w="917" w:type="dxa"/>
            <w:vMerge w:val="continue"/>
            <w:noWrap w:val="0"/>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bCs/>
                <w:color w:val="auto"/>
                <w:kern w:val="0"/>
                <w:sz w:val="18"/>
                <w:szCs w:val="18"/>
              </w:rPr>
            </w:pPr>
          </w:p>
        </w:tc>
        <w:tc>
          <w:tcPr>
            <w:tcW w:w="936" w:type="dxa"/>
            <w:vMerge w:val="continue"/>
            <w:noWrap w:val="0"/>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bCs/>
                <w:color w:val="auto"/>
                <w:kern w:val="0"/>
                <w:sz w:val="18"/>
                <w:szCs w:val="18"/>
              </w:rPr>
            </w:pPr>
          </w:p>
        </w:tc>
        <w:tc>
          <w:tcPr>
            <w:tcW w:w="673"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等级</w:t>
            </w:r>
          </w:p>
        </w:tc>
        <w:tc>
          <w:tcPr>
            <w:tcW w:w="85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bCs/>
                <w:color w:val="auto"/>
                <w:kern w:val="0"/>
                <w:sz w:val="18"/>
                <w:szCs w:val="18"/>
              </w:rPr>
            </w:pPr>
          </w:p>
        </w:tc>
        <w:tc>
          <w:tcPr>
            <w:tcW w:w="82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bCs/>
                <w:color w:val="auto"/>
                <w:kern w:val="0"/>
                <w:sz w:val="18"/>
                <w:szCs w:val="18"/>
              </w:rPr>
            </w:pPr>
          </w:p>
        </w:tc>
        <w:tc>
          <w:tcPr>
            <w:tcW w:w="1560" w:type="dxa"/>
            <w:vMerge w:val="continue"/>
            <w:noWrap/>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b/>
                <w:bCs/>
                <w:color w:val="auto"/>
                <w:kern w:val="0"/>
                <w:sz w:val="18"/>
                <w:szCs w:val="18"/>
              </w:rPr>
            </w:pPr>
          </w:p>
        </w:tc>
        <w:tc>
          <w:tcPr>
            <w:tcW w:w="960" w:type="dxa"/>
            <w:vMerge w:val="continue"/>
            <w:noWrap/>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外延芯片厂房</w:t>
            </w:r>
          </w:p>
        </w:tc>
        <w:tc>
          <w:tcPr>
            <w:tcW w:w="916"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丙类</w:t>
            </w:r>
          </w:p>
        </w:tc>
        <w:tc>
          <w:tcPr>
            <w:tcW w:w="917"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框架结构</w:t>
            </w:r>
          </w:p>
        </w:tc>
        <w:tc>
          <w:tcPr>
            <w:tcW w:w="917"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936"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32453.37</w:t>
            </w:r>
          </w:p>
        </w:tc>
        <w:tc>
          <w:tcPr>
            <w:tcW w:w="673"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w:t>
            </w:r>
          </w:p>
        </w:tc>
        <w:tc>
          <w:tcPr>
            <w:tcW w:w="855"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三</w:t>
            </w:r>
          </w:p>
        </w:tc>
        <w:tc>
          <w:tcPr>
            <w:tcW w:w="825"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不限</w:t>
            </w:r>
          </w:p>
        </w:tc>
        <w:tc>
          <w:tcPr>
            <w:tcW w:w="1560"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6000</w:t>
            </w:r>
          </w:p>
        </w:tc>
        <w:tc>
          <w:tcPr>
            <w:tcW w:w="96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lang w:val="en-US" w:eastAsia="zh-CN"/>
              </w:rPr>
            </w:pPr>
            <w:r>
              <w:rPr>
                <w:rFonts w:hint="eastAsia" w:ascii="宋体" w:hAnsi="宋体" w:eastAsia="宋体" w:cs="宋体"/>
                <w:color w:val="auto"/>
                <w:kern w:val="0"/>
                <w:sz w:val="18"/>
                <w:szCs w:val="18"/>
              </w:rPr>
              <w:t>符合</w:t>
            </w:r>
            <w:r>
              <w:rPr>
                <w:rFonts w:hint="eastAsia" w:ascii="宋体" w:hAnsi="宋体" w:eastAsia="宋体" w:cs="宋体"/>
                <w:color w:val="auto"/>
                <w:kern w:val="0"/>
                <w:sz w:val="18"/>
                <w:szCs w:val="18"/>
                <w:lang w:eastAsia="zh-CN"/>
              </w:rPr>
              <w:t>（见注）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废气车间</w:t>
            </w:r>
          </w:p>
        </w:tc>
        <w:tc>
          <w:tcPr>
            <w:tcW w:w="916"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乙类</w:t>
            </w:r>
          </w:p>
        </w:tc>
        <w:tc>
          <w:tcPr>
            <w:tcW w:w="917"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钢筋混凝土框架</w:t>
            </w:r>
          </w:p>
        </w:tc>
        <w:tc>
          <w:tcPr>
            <w:tcW w:w="917"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936"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2052.45</w:t>
            </w:r>
          </w:p>
        </w:tc>
        <w:tc>
          <w:tcPr>
            <w:tcW w:w="673"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二</w:t>
            </w:r>
          </w:p>
        </w:tc>
        <w:tc>
          <w:tcPr>
            <w:tcW w:w="855"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二</w:t>
            </w:r>
          </w:p>
        </w:tc>
        <w:tc>
          <w:tcPr>
            <w:tcW w:w="825"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宜单层</w:t>
            </w:r>
          </w:p>
        </w:tc>
        <w:tc>
          <w:tcPr>
            <w:tcW w:w="1560"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5000</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符合</w:t>
            </w:r>
          </w:p>
        </w:tc>
      </w:tr>
    </w:tbl>
    <w:p>
      <w:pPr>
        <w:pageBreakBefore w:val="0"/>
        <w:kinsoku/>
        <w:wordWrap/>
        <w:overflowPunct/>
        <w:topLinePunct w:val="0"/>
        <w:autoSpaceDE/>
        <w:autoSpaceDN/>
        <w:bidi w:val="0"/>
        <w:spacing w:line="600" w:lineRule="exact"/>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注：</w:t>
      </w:r>
      <w:r>
        <w:rPr>
          <w:rFonts w:hint="eastAsia" w:ascii="宋体" w:hAnsi="宋体" w:eastAsia="宋体" w:cs="宋体"/>
          <w:color w:val="auto"/>
          <w:kern w:val="0"/>
          <w:sz w:val="18"/>
          <w:szCs w:val="18"/>
        </w:rPr>
        <w:t>外延芯片厂房</w:t>
      </w:r>
      <w:r>
        <w:rPr>
          <w:rFonts w:hint="eastAsia" w:ascii="宋体" w:hAnsi="宋体" w:eastAsia="宋体" w:cs="宋体"/>
          <w:color w:val="auto"/>
          <w:kern w:val="0"/>
          <w:sz w:val="18"/>
          <w:szCs w:val="18"/>
          <w:lang w:eastAsia="zh-CN"/>
        </w:rPr>
        <w:t>顶层（氨水回收装置）为一个防火分区，建筑面积约为</w:t>
      </w:r>
      <w:r>
        <w:rPr>
          <w:rFonts w:hint="eastAsia" w:ascii="宋体" w:hAnsi="宋体" w:eastAsia="宋体" w:cs="宋体"/>
          <w:color w:val="auto"/>
          <w:kern w:val="0"/>
          <w:sz w:val="18"/>
          <w:szCs w:val="18"/>
          <w:lang w:val="en-US" w:eastAsia="zh-CN"/>
        </w:rPr>
        <w:t>4500</w:t>
      </w:r>
      <w:r>
        <w:rPr>
          <w:rFonts w:hint="eastAsia" w:ascii="宋体" w:hAnsi="宋体" w:eastAsia="宋体" w:cs="宋体"/>
          <w:color w:val="auto"/>
          <w:kern w:val="0"/>
          <w:sz w:val="18"/>
          <w:szCs w:val="18"/>
          <w:lang w:val="en-US" w:eastAsia="zh-CN"/>
        </w:rPr>
        <w:t>㎡</w:t>
      </w:r>
      <w:r>
        <w:rPr>
          <w:rFonts w:hint="eastAsia" w:ascii="宋体" w:hAnsi="宋体" w:eastAsia="宋体" w:cs="宋体"/>
          <w:color w:val="auto"/>
          <w:kern w:val="0"/>
          <w:sz w:val="18"/>
          <w:szCs w:val="18"/>
          <w:lang w:val="en-US" w:eastAsia="zh-CN"/>
        </w:rPr>
        <w:t>。</w:t>
      </w:r>
    </w:p>
    <w:p>
      <w:pPr>
        <w:pStyle w:val="7"/>
        <w:pageBreakBefore w:val="0"/>
        <w:kinsoku/>
        <w:wordWrap/>
        <w:overflowPunct/>
        <w:topLinePunct w:val="0"/>
        <w:autoSpaceDE/>
        <w:autoSpaceDN/>
        <w:bidi w:val="0"/>
        <w:spacing w:line="600" w:lineRule="exact"/>
        <w:textAlignment w:val="auto"/>
        <w:rPr>
          <w:rFonts w:hint="eastAsia" w:ascii="宋体" w:hAnsi="宋体" w:eastAsia="宋体" w:cs="宋体"/>
          <w:color w:val="auto"/>
          <w:sz w:val="30"/>
          <w:szCs w:val="30"/>
        </w:rPr>
      </w:pPr>
      <w:bookmarkStart w:id="557" w:name="_Toc18578"/>
      <w:r>
        <w:rPr>
          <w:rFonts w:hint="eastAsia" w:ascii="宋体" w:hAnsi="宋体" w:eastAsia="宋体" w:cs="宋体"/>
          <w:color w:val="auto"/>
          <w:sz w:val="30"/>
          <w:szCs w:val="30"/>
        </w:rPr>
        <w:t>7.</w:t>
      </w:r>
      <w:r>
        <w:rPr>
          <w:rFonts w:hint="eastAsia" w:ascii="宋体" w:hAnsi="宋体" w:eastAsia="宋体" w:cs="宋体"/>
          <w:color w:val="auto"/>
          <w:sz w:val="30"/>
          <w:szCs w:val="30"/>
          <w:lang w:val="en-US" w:eastAsia="zh-CN"/>
        </w:rPr>
        <w:t>5</w:t>
      </w:r>
      <w:r>
        <w:rPr>
          <w:rFonts w:hint="eastAsia" w:ascii="宋体" w:hAnsi="宋体" w:eastAsia="宋体" w:cs="宋体"/>
          <w:color w:val="auto"/>
          <w:sz w:val="30"/>
          <w:szCs w:val="30"/>
        </w:rPr>
        <w:t>安全管理评</w:t>
      </w:r>
      <w:bookmarkEnd w:id="534"/>
      <w:bookmarkEnd w:id="535"/>
      <w:bookmarkEnd w:id="536"/>
      <w:bookmarkEnd w:id="537"/>
      <w:bookmarkEnd w:id="538"/>
      <w:bookmarkEnd w:id="539"/>
      <w:bookmarkEnd w:id="540"/>
      <w:bookmarkEnd w:id="541"/>
      <w:bookmarkEnd w:id="542"/>
      <w:bookmarkEnd w:id="543"/>
      <w:bookmarkStart w:id="558" w:name="_Toc213219148"/>
      <w:bookmarkStart w:id="559" w:name="_Toc97055767"/>
      <w:bookmarkStart w:id="560" w:name="_Toc111106215"/>
      <w:bookmarkStart w:id="561" w:name="_Toc213219784"/>
      <w:bookmarkStart w:id="562" w:name="_Toc97050212"/>
      <w:bookmarkStart w:id="563" w:name="_Toc145841663"/>
      <w:bookmarkStart w:id="564" w:name="_Toc227672684"/>
      <w:bookmarkStart w:id="565" w:name="_Toc199581537"/>
      <w:bookmarkStart w:id="566" w:name="_Toc213219620"/>
      <w:bookmarkStart w:id="567" w:name="_Toc166919833"/>
      <w:bookmarkStart w:id="568" w:name="_Toc115317592"/>
      <w:bookmarkStart w:id="569" w:name="_Toc341993548"/>
      <w:bookmarkStart w:id="570" w:name="_Toc213219703"/>
      <w:r>
        <w:rPr>
          <w:rFonts w:hint="eastAsia" w:ascii="宋体" w:hAnsi="宋体" w:eastAsia="宋体" w:cs="宋体"/>
          <w:color w:val="auto"/>
          <w:sz w:val="30"/>
          <w:szCs w:val="30"/>
        </w:rPr>
        <w:t>价</w:t>
      </w:r>
      <w:bookmarkEnd w:id="552"/>
      <w:bookmarkEnd w:id="553"/>
      <w:bookmarkEnd w:id="554"/>
      <w:bookmarkEnd w:id="555"/>
      <w:bookmarkEnd w:id="556"/>
      <w:bookmarkEnd w:id="557"/>
    </w:p>
    <w:bookmarkEnd w:id="558"/>
    <w:bookmarkEnd w:id="559"/>
    <w:bookmarkEnd w:id="560"/>
    <w:bookmarkEnd w:id="561"/>
    <w:bookmarkEnd w:id="562"/>
    <w:bookmarkEnd w:id="563"/>
    <w:bookmarkEnd w:id="564"/>
    <w:bookmarkEnd w:id="565"/>
    <w:bookmarkEnd w:id="566"/>
    <w:bookmarkEnd w:id="567"/>
    <w:bookmarkEnd w:id="568"/>
    <w:bookmarkEnd w:id="569"/>
    <w:bookmarkEnd w:id="570"/>
    <w:p>
      <w:pPr>
        <w:rPr>
          <w:rFonts w:hint="eastAsia" w:ascii="宋体" w:hAnsi="宋体" w:eastAsia="宋体" w:cs="宋体"/>
          <w:b/>
          <w:color w:val="auto"/>
          <w:szCs w:val="28"/>
        </w:rPr>
      </w:pPr>
      <w:r>
        <w:rPr>
          <w:rFonts w:hint="eastAsia" w:ascii="宋体" w:hAnsi="宋体" w:eastAsia="宋体" w:cs="宋体"/>
          <w:b/>
          <w:color w:val="auto"/>
          <w:szCs w:val="28"/>
        </w:rPr>
        <w:br w:type="page"/>
      </w:r>
    </w:p>
    <w:p>
      <w:pPr>
        <w:pageBreakBefore w:val="0"/>
        <w:kinsoku/>
        <w:wordWrap/>
        <w:overflowPunct/>
        <w:topLinePunct w:val="0"/>
        <w:autoSpaceDE/>
        <w:autoSpaceDN/>
        <w:bidi w:val="0"/>
        <w:adjustRightInd w:val="0"/>
        <w:snapToGrid w:val="0"/>
        <w:spacing w:line="600" w:lineRule="exact"/>
        <w:ind w:firstLine="3233" w:firstLineChars="1150"/>
        <w:textAlignment w:val="auto"/>
        <w:rPr>
          <w:rFonts w:hint="eastAsia" w:ascii="宋体" w:hAnsi="宋体" w:eastAsia="宋体" w:cs="宋体"/>
          <w:b/>
          <w:color w:val="auto"/>
          <w:szCs w:val="28"/>
        </w:rPr>
      </w:pPr>
      <w:r>
        <w:rPr>
          <w:rFonts w:hint="eastAsia" w:ascii="宋体" w:hAnsi="宋体" w:eastAsia="宋体" w:cs="宋体"/>
          <w:b/>
          <w:color w:val="auto"/>
          <w:szCs w:val="28"/>
        </w:rPr>
        <w:t>表7-</w:t>
      </w:r>
      <w:r>
        <w:rPr>
          <w:rFonts w:hint="eastAsia" w:ascii="宋体" w:hAnsi="宋体" w:eastAsia="宋体" w:cs="宋体"/>
          <w:b/>
          <w:color w:val="auto"/>
          <w:szCs w:val="28"/>
          <w:lang w:val="en-US" w:eastAsia="zh-CN"/>
        </w:rPr>
        <w:t>6</w:t>
      </w:r>
      <w:r>
        <w:rPr>
          <w:rFonts w:hint="eastAsia" w:ascii="宋体" w:hAnsi="宋体" w:eastAsia="宋体" w:cs="宋体"/>
          <w:b/>
          <w:color w:val="auto"/>
          <w:szCs w:val="28"/>
        </w:rPr>
        <w:t>安全管理检查表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5533"/>
        <w:gridCol w:w="1979"/>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before="156" w:beforeLines="50" w:after="156" w:afterLines="50" w:line="300" w:lineRule="exact"/>
              <w:jc w:val="center"/>
              <w:rPr>
                <w:rFonts w:hint="eastAsia" w:ascii="宋体" w:hAnsi="宋体" w:eastAsia="宋体" w:cs="宋体"/>
                <w:b/>
                <w:bCs/>
                <w:color w:val="auto"/>
                <w:sz w:val="21"/>
                <w:szCs w:val="21"/>
              </w:rPr>
            </w:pPr>
            <w:bookmarkStart w:id="571" w:name="_Toc227672694"/>
            <w:bookmarkStart w:id="572" w:name="_Toc341993553"/>
            <w:bookmarkStart w:id="573" w:name="_Toc111106241"/>
            <w:bookmarkStart w:id="574" w:name="_Toc213219155"/>
            <w:bookmarkStart w:id="575" w:name="_Toc166919856"/>
            <w:bookmarkStart w:id="576" w:name="_Toc97055771"/>
            <w:bookmarkStart w:id="577" w:name="_Toc97050227"/>
            <w:bookmarkStart w:id="578" w:name="_Toc145841677"/>
            <w:bookmarkStart w:id="579" w:name="_Toc213219630"/>
            <w:bookmarkStart w:id="580" w:name="_Toc115317619"/>
            <w:bookmarkStart w:id="581" w:name="_Toc199581547"/>
            <w:bookmarkStart w:id="582" w:name="_Toc213219713"/>
            <w:bookmarkStart w:id="583" w:name="_Toc213219794"/>
            <w:r>
              <w:rPr>
                <w:rFonts w:hint="eastAsia" w:ascii="宋体" w:hAnsi="宋体" w:eastAsia="宋体" w:cs="宋体"/>
                <w:b/>
                <w:bCs/>
                <w:color w:val="auto"/>
                <w:sz w:val="21"/>
                <w:szCs w:val="21"/>
              </w:rPr>
              <w:t>项目</w:t>
            </w:r>
          </w:p>
        </w:tc>
        <w:tc>
          <w:tcPr>
            <w:tcW w:w="2980" w:type="pct"/>
            <w:vAlign w:val="center"/>
          </w:tcPr>
          <w:p>
            <w:pPr>
              <w:adjustRightInd w:val="0"/>
              <w:snapToGrid w:val="0"/>
              <w:spacing w:before="156" w:beforeLines="50" w:after="156" w:afterLines="50" w:line="30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检查内容及条款</w:t>
            </w:r>
          </w:p>
        </w:tc>
        <w:tc>
          <w:tcPr>
            <w:tcW w:w="1066" w:type="pct"/>
            <w:vAlign w:val="center"/>
          </w:tcPr>
          <w:p>
            <w:pPr>
              <w:adjustRightInd w:val="0"/>
              <w:snapToGrid w:val="0"/>
              <w:spacing w:before="156" w:beforeLines="50" w:after="156" w:afterLines="50" w:line="30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检查结果</w:t>
            </w:r>
          </w:p>
        </w:tc>
        <w:tc>
          <w:tcPr>
            <w:tcW w:w="512" w:type="pct"/>
            <w:vAlign w:val="center"/>
          </w:tcPr>
          <w:p>
            <w:pPr>
              <w:adjustRightInd w:val="0"/>
              <w:snapToGrid w:val="0"/>
              <w:spacing w:before="156" w:beforeLines="50" w:after="156" w:afterLines="50" w:line="30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5000" w:type="pct"/>
            <w:gridSpan w:val="4"/>
            <w:tcBorders>
              <w:bottom w:val="nil"/>
            </w:tcBorders>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b/>
                <w:color w:val="auto"/>
                <w:sz w:val="21"/>
                <w:szCs w:val="21"/>
              </w:rPr>
              <w:t>一、安全管理组织机构和人员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危险物品的生产、经营、储存单位应设置安全生产管理机构或配备专职安全生产管理人员</w:t>
            </w:r>
          </w:p>
        </w:tc>
        <w:tc>
          <w:tcPr>
            <w:tcW w:w="1066" w:type="pct"/>
            <w:vMerge w:val="restar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有安全小组和专职安全管理人员</w:t>
            </w:r>
          </w:p>
        </w:tc>
        <w:tc>
          <w:tcPr>
            <w:tcW w:w="512" w:type="pct"/>
            <w:vMerge w:val="restar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危险化学品经营单位应有安全管理机构或配备专职安全管理人员；</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5000" w:type="pct"/>
            <w:gridSpan w:val="4"/>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b/>
                <w:color w:val="auto"/>
                <w:sz w:val="21"/>
                <w:szCs w:val="21"/>
              </w:rPr>
              <w:t>二、安全管理制度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建立各级人员的安全责任制。企业法人是安全生产第一责任人，对本企业的安全生产负全面管理的法定责任；其他各级人员在各自范围内对安全负责</w:t>
            </w:r>
          </w:p>
        </w:tc>
        <w:tc>
          <w:tcPr>
            <w:tcW w:w="1066" w:type="pct"/>
            <w:vAlign w:val="center"/>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建立了各级人员的安全责任制</w:t>
            </w:r>
          </w:p>
        </w:tc>
        <w:tc>
          <w:tcPr>
            <w:tcW w:w="512"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安全生产责任制度</w:t>
            </w:r>
          </w:p>
        </w:tc>
        <w:tc>
          <w:tcPr>
            <w:tcW w:w="1066" w:type="pct"/>
            <w:vMerge w:val="restart"/>
            <w:vAlign w:val="center"/>
          </w:tcPr>
          <w:p>
            <w:pPr>
              <w:adjustRightInd w:val="0"/>
              <w:snapToGrid w:val="0"/>
              <w:spacing w:line="3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有相应的安全管理制度</w:t>
            </w:r>
          </w:p>
        </w:tc>
        <w:tc>
          <w:tcPr>
            <w:tcW w:w="512" w:type="pct"/>
            <w:vMerge w:val="restar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安全教育、培训制度</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安全作业证制度</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安全检查和隐患整改制度</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安全检修制度</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防火、防爆制度</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危险化学品安全管理制度</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安全装置管理制度</w:t>
            </w:r>
          </w:p>
        </w:tc>
        <w:tc>
          <w:tcPr>
            <w:tcW w:w="1066" w:type="pct"/>
            <w:vMerge w:val="continue"/>
            <w:vAlign w:val="center"/>
          </w:tcPr>
          <w:p>
            <w:pPr>
              <w:adjustRightInd w:val="0"/>
              <w:snapToGrid w:val="0"/>
              <w:spacing w:line="300" w:lineRule="exact"/>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安全费用投入保障制度</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劳动防护用具（品）和保健品发放管理制度</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事故管理制度</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仓库安全管理制度</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5000" w:type="pct"/>
            <w:gridSpan w:val="4"/>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b/>
                <w:color w:val="auto"/>
                <w:sz w:val="21"/>
                <w:szCs w:val="21"/>
              </w:rPr>
              <w:t>三、操作规程建立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根据产品工艺规程、安全技术规程的要求，编制各岗位安全操作法或规程</w:t>
            </w:r>
          </w:p>
        </w:tc>
        <w:tc>
          <w:tcPr>
            <w:tcW w:w="1066" w:type="pct"/>
            <w:vAlign w:val="center"/>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已编制各岗位安全操作规程</w:t>
            </w:r>
          </w:p>
        </w:tc>
        <w:tc>
          <w:tcPr>
            <w:tcW w:w="512"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5000" w:type="pct"/>
            <w:gridSpan w:val="4"/>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b/>
                <w:color w:val="auto"/>
                <w:sz w:val="21"/>
                <w:szCs w:val="21"/>
              </w:rPr>
              <w:t>四、安全生产投入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安全培训教育所需费用</w:t>
            </w:r>
          </w:p>
        </w:tc>
        <w:tc>
          <w:tcPr>
            <w:tcW w:w="1066"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已投入培训费用</w:t>
            </w:r>
          </w:p>
        </w:tc>
        <w:tc>
          <w:tcPr>
            <w:tcW w:w="512"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劳动防护用品及保健品的经费</w:t>
            </w:r>
          </w:p>
        </w:tc>
        <w:tc>
          <w:tcPr>
            <w:tcW w:w="1066"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有劳动防护用品</w:t>
            </w:r>
          </w:p>
        </w:tc>
        <w:tc>
          <w:tcPr>
            <w:tcW w:w="512"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安全设施、安全连锁、报警装置、安全通讯设施、防触电设施、防噪声、粉尘设施、防灼伤冲淋设施、员工洗浴、休息设施等设备投入和维护、保养及作业场所职业危害防治措施的资金投入</w:t>
            </w:r>
          </w:p>
        </w:tc>
        <w:tc>
          <w:tcPr>
            <w:tcW w:w="1066" w:type="pct"/>
            <w:vAlign w:val="center"/>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有相应的防治措施</w:t>
            </w:r>
          </w:p>
        </w:tc>
        <w:tc>
          <w:tcPr>
            <w:tcW w:w="512"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tabs>
                <w:tab w:val="left" w:pos="495"/>
              </w:tabs>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重大隐患治理所需费用的保证</w:t>
            </w:r>
          </w:p>
        </w:tc>
        <w:tc>
          <w:tcPr>
            <w:tcW w:w="1066"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无</w:t>
            </w:r>
          </w:p>
        </w:tc>
        <w:tc>
          <w:tcPr>
            <w:tcW w:w="512"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tabs>
                <w:tab w:val="left" w:pos="495"/>
              </w:tabs>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工伤社会保险</w:t>
            </w:r>
          </w:p>
        </w:tc>
        <w:tc>
          <w:tcPr>
            <w:tcW w:w="1066"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已购买并提供了证明</w:t>
            </w:r>
          </w:p>
        </w:tc>
        <w:tc>
          <w:tcPr>
            <w:tcW w:w="512"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5000" w:type="pct"/>
            <w:gridSpan w:val="4"/>
            <w:vAlign w:val="center"/>
          </w:tcPr>
          <w:p>
            <w:pPr>
              <w:adjustRightInd w:val="0"/>
              <w:snapToGrid w:val="0"/>
              <w:spacing w:line="30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五、教育培训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980" w:type="pct"/>
            <w:vAlign w:val="center"/>
          </w:tcPr>
          <w:p>
            <w:pPr>
              <w:pStyle w:val="67"/>
              <w:widowControl w:val="0"/>
              <w:pBdr>
                <w:bottom w:val="none" w:color="auto" w:sz="0" w:space="0"/>
                <w:right w:val="none" w:color="auto" w:sz="0" w:space="0"/>
              </w:pBdr>
              <w:adjustRightInd w:val="0"/>
              <w:snapToGrid w:val="0"/>
              <w:spacing w:before="0" w:after="0" w:line="300" w:lineRule="exac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主要负责人和安全管理人员必须具备与本单位所从事生产经营活动相应安全生产知识和管理能力</w:t>
            </w:r>
          </w:p>
        </w:tc>
        <w:tc>
          <w:tcPr>
            <w:tcW w:w="1066" w:type="pct"/>
            <w:vAlign w:val="center"/>
          </w:tcPr>
          <w:p>
            <w:pPr>
              <w:pStyle w:val="67"/>
              <w:widowControl w:val="0"/>
              <w:pBdr>
                <w:bottom w:val="none" w:color="auto" w:sz="0" w:space="0"/>
                <w:right w:val="none" w:color="auto" w:sz="0" w:space="0"/>
              </w:pBdr>
              <w:adjustRightInd w:val="0"/>
              <w:snapToGrid w:val="0"/>
              <w:spacing w:before="0" w:after="0" w:line="300" w:lineRule="exac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主要负责人、安全管理人员已取证</w:t>
            </w:r>
          </w:p>
        </w:tc>
        <w:tc>
          <w:tcPr>
            <w:tcW w:w="512"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特种作业人员经专门安全作业培训，取得特种作业操作资格证书</w:t>
            </w:r>
          </w:p>
        </w:tc>
        <w:tc>
          <w:tcPr>
            <w:tcW w:w="1066"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已取证</w:t>
            </w:r>
          </w:p>
        </w:tc>
        <w:tc>
          <w:tcPr>
            <w:tcW w:w="512"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生产经营单位应当对从业人员进行安全生产教育和培训；新进人员、转岗和复工人员经三级安全教育和专业培训</w:t>
            </w:r>
          </w:p>
        </w:tc>
        <w:tc>
          <w:tcPr>
            <w:tcW w:w="1066" w:type="pct"/>
            <w:vAlign w:val="center"/>
          </w:tcPr>
          <w:p>
            <w:pPr>
              <w:pStyle w:val="64"/>
              <w:snapToGrid w:val="0"/>
              <w:spacing w:line="300" w:lineRule="exac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是</w:t>
            </w:r>
          </w:p>
        </w:tc>
        <w:tc>
          <w:tcPr>
            <w:tcW w:w="512"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安全生产教育培训制度、档案建立</w:t>
            </w:r>
          </w:p>
        </w:tc>
        <w:tc>
          <w:tcPr>
            <w:tcW w:w="1066"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是</w:t>
            </w:r>
          </w:p>
        </w:tc>
        <w:tc>
          <w:tcPr>
            <w:tcW w:w="512"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5000" w:type="pct"/>
            <w:gridSpan w:val="4"/>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b/>
                <w:color w:val="auto"/>
                <w:sz w:val="21"/>
                <w:szCs w:val="21"/>
              </w:rPr>
              <w:t>六、事故应急救援预案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基本情况</w:t>
            </w:r>
          </w:p>
        </w:tc>
        <w:tc>
          <w:tcPr>
            <w:tcW w:w="1066" w:type="pct"/>
            <w:vMerge w:val="restar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制定有相关事故应急救援预案</w:t>
            </w:r>
          </w:p>
        </w:tc>
        <w:tc>
          <w:tcPr>
            <w:tcW w:w="512" w:type="pct"/>
            <w:vMerge w:val="restart"/>
            <w:vAlign w:val="center"/>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危险目标及危险特性</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危险目标周围可利用的安全、消防、个体防护的设备、器材及分布</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应急救援组织机构、组成人员和职责划分</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报警、通讯联络方式</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事故发生后应采取的处理措施</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人员紧急疏散、撤离</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危险区的隔离</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检测、抢险、救援及控制措施</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受伤人员现场救护、救治与医院救治</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现场保护与现场洗消</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应急救援保障（内部、外部）</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预案分级响应条件</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事故应急救援终止程序</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应急培训计划</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16</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演练计划</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40" w:type="pct"/>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17</w:t>
            </w:r>
          </w:p>
        </w:tc>
        <w:tc>
          <w:tcPr>
            <w:tcW w:w="2980" w:type="pct"/>
          </w:tcPr>
          <w:p>
            <w:pPr>
              <w:adjustRightInd w:val="0"/>
              <w:snapToGrid w:val="0"/>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rPr>
              <w:t>附件（组织机构名单、指挥层次示意图；联系电话；平面布置图；消防设施配置图；周边区域道路交通示意图和疏散路线；周边单位、社区、供水供电单位联系等）</w:t>
            </w:r>
          </w:p>
        </w:tc>
        <w:tc>
          <w:tcPr>
            <w:tcW w:w="1066"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c>
          <w:tcPr>
            <w:tcW w:w="512" w:type="pct"/>
            <w:vMerge w:val="continue"/>
            <w:vAlign w:val="center"/>
          </w:tcPr>
          <w:p>
            <w:pPr>
              <w:adjustRightInd w:val="0"/>
              <w:snapToGrid w:val="0"/>
              <w:spacing w:line="300" w:lineRule="exact"/>
              <w:jc w:val="center"/>
              <w:rPr>
                <w:rFonts w:hint="eastAsia" w:ascii="宋体" w:hAnsi="宋体" w:eastAsia="宋体" w:cs="宋体"/>
                <w:color w:val="auto"/>
                <w:sz w:val="21"/>
                <w:szCs w:val="21"/>
              </w:rPr>
            </w:pPr>
          </w:p>
        </w:tc>
      </w:tr>
    </w:tbl>
    <w:p>
      <w:pPr>
        <w:pageBreakBefore w:val="0"/>
        <w:kinsoku/>
        <w:wordWrap/>
        <w:overflowPunct/>
        <w:topLinePunct w:val="0"/>
        <w:autoSpaceDE/>
        <w:autoSpaceDN/>
        <w:bidi w:val="0"/>
        <w:adjustRightInd w:val="0"/>
        <w:snapToGrid w:val="0"/>
        <w:spacing w:line="600" w:lineRule="exact"/>
        <w:ind w:firstLine="537" w:firstLineChars="192"/>
        <w:textAlignment w:val="auto"/>
        <w:rPr>
          <w:rFonts w:hint="eastAsia" w:ascii="宋体" w:hAnsi="宋体" w:eastAsia="宋体" w:cs="宋体"/>
          <w:color w:val="auto"/>
          <w:szCs w:val="28"/>
        </w:rPr>
      </w:pPr>
      <w:r>
        <w:rPr>
          <w:rFonts w:hint="eastAsia" w:ascii="宋体" w:hAnsi="宋体" w:eastAsia="宋体" w:cs="宋体"/>
          <w:color w:val="auto"/>
          <w:szCs w:val="28"/>
        </w:rPr>
        <w:t>经检查，该</w:t>
      </w:r>
      <w:r>
        <w:rPr>
          <w:rFonts w:hint="eastAsia" w:ascii="宋体" w:hAnsi="宋体" w:eastAsia="宋体" w:cs="宋体"/>
          <w:color w:val="auto"/>
          <w:szCs w:val="28"/>
          <w:lang w:val="en-US" w:eastAsia="zh-CN"/>
        </w:rPr>
        <w:t>企业</w:t>
      </w:r>
      <w:r>
        <w:rPr>
          <w:rFonts w:hint="eastAsia" w:ascii="宋体" w:hAnsi="宋体" w:eastAsia="宋体" w:cs="宋体"/>
          <w:color w:val="auto"/>
          <w:szCs w:val="28"/>
        </w:rPr>
        <w:t>有健全的安全管理组织机构，安全管理制度和事故应急救援预案基本完善。</w:t>
      </w:r>
    </w:p>
    <w:bookmarkEnd w:id="571"/>
    <w:bookmarkEnd w:id="572"/>
    <w:bookmarkEnd w:id="573"/>
    <w:bookmarkEnd w:id="574"/>
    <w:bookmarkEnd w:id="575"/>
    <w:bookmarkEnd w:id="576"/>
    <w:bookmarkEnd w:id="577"/>
    <w:bookmarkEnd w:id="578"/>
    <w:bookmarkEnd w:id="579"/>
    <w:bookmarkEnd w:id="580"/>
    <w:bookmarkEnd w:id="581"/>
    <w:bookmarkEnd w:id="582"/>
    <w:bookmarkEnd w:id="583"/>
    <w:p>
      <w:pPr>
        <w:pageBreakBefore w:val="0"/>
        <w:kinsoku/>
        <w:wordWrap/>
        <w:overflowPunct/>
        <w:topLinePunct w:val="0"/>
        <w:autoSpaceDE/>
        <w:autoSpaceDN/>
        <w:bidi w:val="0"/>
        <w:spacing w:line="600" w:lineRule="exact"/>
        <w:textAlignment w:val="auto"/>
        <w:rPr>
          <w:rFonts w:hint="eastAsia" w:ascii="宋体" w:hAnsi="宋体" w:eastAsia="宋体" w:cs="宋体"/>
          <w:b/>
          <w:bCs/>
          <w:color w:val="auto"/>
          <w:sz w:val="32"/>
          <w:szCs w:val="32"/>
          <w:lang w:val="en-US" w:eastAsia="zh-CN"/>
        </w:rPr>
      </w:pPr>
      <w:bookmarkStart w:id="584" w:name="_Toc8284"/>
      <w:bookmarkStart w:id="585" w:name="_Toc486427824"/>
      <w:bookmarkStart w:id="586" w:name="_Toc14518"/>
      <w:bookmarkStart w:id="587" w:name="_Toc6350"/>
      <w:bookmarkStart w:id="588" w:name="_Toc20691"/>
      <w:bookmarkStart w:id="589" w:name="_Toc15016"/>
      <w:r>
        <w:rPr>
          <w:rFonts w:hint="eastAsia" w:ascii="宋体" w:hAnsi="宋体" w:eastAsia="宋体" w:cs="宋体"/>
          <w:b/>
          <w:bCs/>
          <w:color w:val="auto"/>
          <w:sz w:val="32"/>
          <w:szCs w:val="32"/>
          <w:lang w:val="en-US" w:eastAsia="zh-CN"/>
        </w:rPr>
        <w:br w:type="page"/>
      </w:r>
    </w:p>
    <w:p>
      <w:pPr>
        <w:pageBreakBefore w:val="0"/>
        <w:kinsoku/>
        <w:wordWrap/>
        <w:overflowPunct/>
        <w:topLinePunct w:val="0"/>
        <w:autoSpaceDE/>
        <w:autoSpaceDN/>
        <w:bidi w:val="0"/>
        <w:spacing w:line="600" w:lineRule="exact"/>
        <w:jc w:val="center"/>
        <w:textAlignment w:val="auto"/>
        <w:outlineLvl w:val="0"/>
        <w:rPr>
          <w:rFonts w:hint="eastAsia" w:ascii="宋体" w:hAnsi="宋体" w:eastAsia="宋体" w:cs="宋体"/>
          <w:b/>
          <w:bCs/>
          <w:color w:val="auto"/>
          <w:sz w:val="32"/>
          <w:szCs w:val="32"/>
        </w:rPr>
      </w:pPr>
      <w:bookmarkStart w:id="590" w:name="_Toc7929"/>
      <w:r>
        <w:rPr>
          <w:rFonts w:hint="eastAsia" w:ascii="宋体" w:hAnsi="宋体" w:eastAsia="宋体" w:cs="宋体"/>
          <w:b/>
          <w:bCs/>
          <w:color w:val="auto"/>
          <w:sz w:val="32"/>
          <w:szCs w:val="32"/>
          <w:lang w:val="en-US" w:eastAsia="zh-CN"/>
        </w:rPr>
        <w:t>8</w:t>
      </w:r>
      <w:r>
        <w:rPr>
          <w:rFonts w:hint="eastAsia" w:ascii="宋体" w:hAnsi="宋体" w:eastAsia="宋体" w:cs="宋体"/>
          <w:b/>
          <w:bCs/>
          <w:color w:val="auto"/>
          <w:sz w:val="32"/>
          <w:szCs w:val="32"/>
        </w:rPr>
        <w:t>安全对策措施</w:t>
      </w:r>
      <w:bookmarkEnd w:id="584"/>
      <w:bookmarkEnd w:id="590"/>
    </w:p>
    <w:p>
      <w:pPr>
        <w:pStyle w:val="7"/>
        <w:pageBreakBefore w:val="0"/>
        <w:kinsoku/>
        <w:wordWrap/>
        <w:overflowPunct/>
        <w:topLinePunct w:val="0"/>
        <w:autoSpaceDE/>
        <w:autoSpaceDN/>
        <w:bidi w:val="0"/>
        <w:spacing w:before="0" w:after="0" w:line="600" w:lineRule="exact"/>
        <w:textAlignment w:val="auto"/>
        <w:rPr>
          <w:rFonts w:hint="eastAsia" w:ascii="宋体" w:hAnsi="宋体" w:eastAsia="宋体" w:cs="宋体"/>
          <w:b/>
          <w:bCs/>
          <w:color w:val="auto"/>
          <w:sz w:val="30"/>
          <w:szCs w:val="30"/>
        </w:rPr>
      </w:pPr>
      <w:bookmarkStart w:id="591" w:name="_Toc17371"/>
      <w:bookmarkStart w:id="592" w:name="_Toc10061"/>
      <w:r>
        <w:rPr>
          <w:rFonts w:hint="eastAsia" w:ascii="宋体" w:hAnsi="宋体" w:eastAsia="宋体" w:cs="宋体"/>
          <w:b/>
          <w:bCs/>
          <w:color w:val="auto"/>
          <w:sz w:val="30"/>
          <w:szCs w:val="30"/>
          <w:lang w:val="en-US" w:eastAsia="zh-CN"/>
        </w:rPr>
        <w:t>8</w:t>
      </w:r>
      <w:r>
        <w:rPr>
          <w:rFonts w:hint="eastAsia" w:ascii="宋体" w:hAnsi="宋体" w:eastAsia="宋体" w:cs="宋体"/>
          <w:b/>
          <w:bCs/>
          <w:color w:val="auto"/>
          <w:sz w:val="30"/>
          <w:szCs w:val="30"/>
        </w:rPr>
        <w:t>.1安全对策措施、建议的依据及原则</w:t>
      </w:r>
      <w:bookmarkEnd w:id="591"/>
      <w:bookmarkEnd w:id="592"/>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1）安全对策措施的依据：</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（1）物料及工艺过程的危险、有害因素的辨识分析；</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（2）符合性评价的结果；</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（3）国家有关安全生产法律、法规、规章、标准、规范。</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2）安全对策措施建议的原则：</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(1)安全技术措施等级顺序：</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a直接安全技术措施；</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b间接安全技术措施；</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c指示性安全技术措施；</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d若间接、指示性安全技术措施仍然不能避免事故，则应采取安全操作规程、安全教育、安全培训和台体防护等措施来预防、减弱系统的危险、危害程度。</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(2）根据安全技术措施等级顺序的要求应遵循的具体原则：</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消除；预防；减弱；隔离；连锁；警告。</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a安全对策措施建议具有针对性、可操作性和经济合理性。</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b对策措施符合国家有关法规、标准及规范的规定。</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c在满足基本安全要求的基础上，对项目重大危险源或重大风险控制提出保障安全运行的对策建议。</w:t>
      </w:r>
      <w:r>
        <w:rPr>
          <w:rFonts w:hint="eastAsia" w:ascii="宋体" w:hAnsi="宋体" w:eastAsia="宋体" w:cs="宋体"/>
          <w:color w:val="auto"/>
          <w:sz w:val="28"/>
          <w:szCs w:val="28"/>
        </w:rPr>
        <w:t xml:space="preserve"> </w:t>
      </w:r>
    </w:p>
    <w:p>
      <w:pPr>
        <w:pStyle w:val="7"/>
        <w:pageBreakBefore w:val="0"/>
        <w:kinsoku/>
        <w:wordWrap/>
        <w:overflowPunct/>
        <w:topLinePunct w:val="0"/>
        <w:autoSpaceDE/>
        <w:autoSpaceDN/>
        <w:bidi w:val="0"/>
        <w:spacing w:before="0" w:after="0" w:line="600" w:lineRule="exact"/>
        <w:textAlignment w:val="auto"/>
        <w:rPr>
          <w:rFonts w:hint="eastAsia" w:ascii="宋体" w:hAnsi="宋体" w:eastAsia="宋体" w:cs="宋体"/>
          <w:b/>
          <w:bCs/>
          <w:color w:val="auto"/>
          <w:sz w:val="30"/>
          <w:szCs w:val="30"/>
        </w:rPr>
      </w:pPr>
      <w:bookmarkStart w:id="593" w:name="_Toc31002"/>
      <w:bookmarkStart w:id="594" w:name="_Toc6374"/>
      <w:r>
        <w:rPr>
          <w:rFonts w:hint="eastAsia" w:ascii="宋体" w:hAnsi="宋体" w:eastAsia="宋体" w:cs="宋体"/>
          <w:b/>
          <w:bCs/>
          <w:color w:val="auto"/>
          <w:sz w:val="30"/>
          <w:szCs w:val="30"/>
          <w:lang w:val="en-US" w:eastAsia="zh-CN"/>
        </w:rPr>
        <w:t>8</w:t>
      </w:r>
      <w:r>
        <w:rPr>
          <w:rFonts w:hint="eastAsia" w:ascii="宋体" w:hAnsi="宋体" w:eastAsia="宋体" w:cs="宋体"/>
          <w:b/>
          <w:bCs/>
          <w:color w:val="auto"/>
          <w:sz w:val="30"/>
          <w:szCs w:val="30"/>
        </w:rPr>
        <w:t>.</w:t>
      </w:r>
      <w:r>
        <w:rPr>
          <w:rFonts w:hint="eastAsia" w:ascii="宋体" w:hAnsi="宋体" w:eastAsia="宋体" w:cs="宋体"/>
          <w:b/>
          <w:bCs/>
          <w:color w:val="auto"/>
          <w:sz w:val="30"/>
          <w:szCs w:val="30"/>
          <w:lang w:val="en-US" w:eastAsia="zh-CN"/>
        </w:rPr>
        <w:t>2</w:t>
      </w:r>
      <w:r>
        <w:rPr>
          <w:rFonts w:hint="eastAsia" w:ascii="宋体" w:hAnsi="宋体" w:eastAsia="宋体" w:cs="宋体"/>
          <w:b/>
          <w:bCs/>
          <w:color w:val="auto"/>
          <w:sz w:val="30"/>
          <w:szCs w:val="30"/>
        </w:rPr>
        <w:t>改进建议</w:t>
      </w:r>
      <w:bookmarkEnd w:id="593"/>
      <w:bookmarkEnd w:id="594"/>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根据对</w:t>
      </w:r>
      <w:r>
        <w:rPr>
          <w:rFonts w:hint="eastAsia" w:ascii="宋体" w:hAnsi="宋体" w:eastAsia="宋体" w:cs="宋体"/>
          <w:color w:val="auto"/>
          <w:sz w:val="28"/>
          <w:szCs w:val="28"/>
        </w:rPr>
        <w:t>江西兆驰半导体有限公司江西兆驰半导体</w:t>
      </w:r>
      <w:r>
        <w:rPr>
          <w:rFonts w:hint="eastAsia" w:ascii="宋体" w:hAnsi="宋体" w:eastAsia="宋体" w:cs="宋体"/>
          <w:color w:val="auto"/>
          <w:sz w:val="28"/>
          <w:szCs w:val="28"/>
          <w:lang w:eastAsia="zh-CN"/>
        </w:rPr>
        <w:t>氨水回收装置</w:t>
      </w:r>
      <w:r>
        <w:rPr>
          <w:rFonts w:hint="eastAsia" w:ascii="宋体" w:hAnsi="宋体" w:eastAsia="宋体" w:cs="宋体"/>
          <w:color w:val="auto"/>
          <w:sz w:val="28"/>
          <w:szCs w:val="28"/>
        </w:rPr>
        <w:t>进行的现场安全检查和</w:t>
      </w:r>
      <w:r>
        <w:rPr>
          <w:rFonts w:hint="eastAsia" w:ascii="宋体" w:hAnsi="宋体" w:eastAsia="宋体" w:cs="宋体"/>
          <w:color w:val="auto"/>
          <w:sz w:val="28"/>
          <w:szCs w:val="28"/>
        </w:rPr>
        <w:t>现状</w:t>
      </w:r>
      <w:r>
        <w:rPr>
          <w:rFonts w:hint="eastAsia" w:ascii="宋体" w:hAnsi="宋体" w:eastAsia="宋体" w:cs="宋体"/>
          <w:color w:val="auto"/>
          <w:sz w:val="28"/>
          <w:szCs w:val="28"/>
        </w:rPr>
        <w:t>评价，本</w:t>
      </w:r>
      <w:r>
        <w:rPr>
          <w:rFonts w:hint="eastAsia" w:ascii="宋体" w:hAnsi="宋体" w:eastAsia="宋体" w:cs="宋体"/>
          <w:color w:val="auto"/>
          <w:sz w:val="28"/>
          <w:szCs w:val="28"/>
        </w:rPr>
        <w:t>次评价</w:t>
      </w:r>
      <w:r>
        <w:rPr>
          <w:rFonts w:hint="eastAsia" w:ascii="宋体" w:hAnsi="宋体" w:eastAsia="宋体" w:cs="宋体"/>
          <w:color w:val="auto"/>
          <w:sz w:val="28"/>
          <w:szCs w:val="28"/>
        </w:rPr>
        <w:t>提出以下建议：</w:t>
      </w:r>
    </w:p>
    <w:p>
      <w:pPr>
        <w:pageBreakBefore w:val="0"/>
        <w:kinsoku/>
        <w:wordWrap/>
        <w:overflowPunct/>
        <w:topLinePunct w:val="0"/>
        <w:autoSpaceDE/>
        <w:autoSpaceDN/>
        <w:bidi w:val="0"/>
        <w:adjustRightInd w:val="0"/>
        <w:snapToGrid w:val="0"/>
        <w:spacing w:line="600" w:lineRule="exact"/>
        <w:ind w:firstLine="471"/>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1）防雷防静电设施必须经常检查和检测，并每年至少请有资质的机构检测一次。</w:t>
      </w:r>
    </w:p>
    <w:p>
      <w:pPr>
        <w:pageBreakBefore w:val="0"/>
        <w:kinsoku/>
        <w:wordWrap/>
        <w:overflowPunct/>
        <w:topLinePunct w:val="0"/>
        <w:autoSpaceDE/>
        <w:autoSpaceDN/>
        <w:bidi w:val="0"/>
        <w:adjustRightInd w:val="0"/>
        <w:snapToGrid w:val="0"/>
        <w:spacing w:line="600" w:lineRule="exact"/>
        <w:ind w:firstLine="471"/>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2）对危险性较大的生产设备及配套的安全装置应按国家的有关规定检验、操作、维修、保养，保持设备、设施的完好状态。</w:t>
      </w:r>
    </w:p>
    <w:p>
      <w:pPr>
        <w:pageBreakBefore w:val="0"/>
        <w:kinsoku/>
        <w:wordWrap/>
        <w:overflowPunct/>
        <w:topLinePunct w:val="0"/>
        <w:autoSpaceDE/>
        <w:autoSpaceDN/>
        <w:bidi w:val="0"/>
        <w:adjustRightInd w:val="0"/>
        <w:snapToGrid w:val="0"/>
        <w:spacing w:line="600" w:lineRule="exact"/>
        <w:ind w:firstLine="471"/>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3）消防器材必须定责任人检查、维护、保养。</w:t>
      </w:r>
    </w:p>
    <w:p>
      <w:pPr>
        <w:pageBreakBefore w:val="0"/>
        <w:kinsoku/>
        <w:wordWrap/>
        <w:overflowPunct/>
        <w:topLinePunct w:val="0"/>
        <w:autoSpaceDE/>
        <w:autoSpaceDN/>
        <w:bidi w:val="0"/>
        <w:adjustRightInd w:val="0"/>
        <w:snapToGrid w:val="0"/>
        <w:spacing w:line="600" w:lineRule="exact"/>
        <w:ind w:firstLine="471"/>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4）劳动安全卫生专用设备，包括通风、降温、消防、降噪、标志、防护等设施，要指定专业人员负责维护保养，确保正常运行。</w:t>
      </w:r>
    </w:p>
    <w:p>
      <w:pPr>
        <w:pageBreakBefore w:val="0"/>
        <w:kinsoku/>
        <w:wordWrap/>
        <w:overflowPunct/>
        <w:topLinePunct w:val="0"/>
        <w:autoSpaceDE/>
        <w:autoSpaceDN/>
        <w:bidi w:val="0"/>
        <w:adjustRightInd w:val="0"/>
        <w:snapToGrid w:val="0"/>
        <w:spacing w:line="600" w:lineRule="exact"/>
        <w:ind w:firstLine="471"/>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5）重点关注较大风险设备，加强巡回检查。</w:t>
      </w:r>
    </w:p>
    <w:p>
      <w:pPr>
        <w:pageBreakBefore w:val="0"/>
        <w:kinsoku/>
        <w:wordWrap/>
        <w:overflowPunct/>
        <w:topLinePunct w:val="0"/>
        <w:autoSpaceDE/>
        <w:autoSpaceDN/>
        <w:bidi w:val="0"/>
        <w:adjustRightInd w:val="0"/>
        <w:snapToGrid w:val="0"/>
        <w:spacing w:line="600" w:lineRule="exact"/>
        <w:ind w:firstLine="471"/>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6）完善管理制度和操作规程，增加检修作业安全规程和职业卫生防护制度，并组织员工进行学习。</w:t>
      </w:r>
    </w:p>
    <w:p>
      <w:pPr>
        <w:pageBreakBefore w:val="0"/>
        <w:kinsoku/>
        <w:wordWrap/>
        <w:overflowPunct/>
        <w:topLinePunct w:val="0"/>
        <w:autoSpaceDE/>
        <w:autoSpaceDN/>
        <w:bidi w:val="0"/>
        <w:adjustRightInd w:val="0"/>
        <w:snapToGrid w:val="0"/>
        <w:spacing w:line="600" w:lineRule="exact"/>
        <w:ind w:firstLine="471"/>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7）配备必要的应急救援器材、物资，并加强培训、演练，做好记录并对演练情况进行评审，根据评审结果，完善预案，以提高事故应急效率和水平。</w:t>
      </w:r>
    </w:p>
    <w:p>
      <w:pPr>
        <w:pageBreakBefore w:val="0"/>
        <w:kinsoku/>
        <w:wordWrap/>
        <w:overflowPunct/>
        <w:topLinePunct w:val="0"/>
        <w:autoSpaceDE/>
        <w:autoSpaceDN/>
        <w:bidi w:val="0"/>
        <w:adjustRightInd w:val="0"/>
        <w:snapToGrid w:val="0"/>
        <w:spacing w:line="600" w:lineRule="exact"/>
        <w:ind w:firstLine="471"/>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8）穿墙管道加套管和防火肩，管道、储罐做好防腐。</w:t>
      </w:r>
    </w:p>
    <w:p>
      <w:pPr>
        <w:pageBreakBefore w:val="0"/>
        <w:kinsoku/>
        <w:wordWrap/>
        <w:overflowPunct/>
        <w:topLinePunct w:val="0"/>
        <w:autoSpaceDE/>
        <w:autoSpaceDN/>
        <w:bidi w:val="0"/>
        <w:adjustRightInd w:val="0"/>
        <w:snapToGrid w:val="0"/>
        <w:spacing w:line="600" w:lineRule="exact"/>
        <w:ind w:firstLine="471"/>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9）项目操作部分岗位远程控制，但生产现场应该设人员值班，加强现场的检查，防止出现事故或出现事故现场无人处理。</w:t>
      </w:r>
    </w:p>
    <w:p>
      <w:pPr>
        <w:pageBreakBefore w:val="0"/>
        <w:kinsoku/>
        <w:wordWrap/>
        <w:overflowPunct/>
        <w:topLinePunct w:val="0"/>
        <w:autoSpaceDE/>
        <w:autoSpaceDN/>
        <w:bidi w:val="0"/>
        <w:adjustRightInd w:val="0"/>
        <w:snapToGrid w:val="0"/>
        <w:spacing w:line="600" w:lineRule="exact"/>
        <w:ind w:firstLine="471"/>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10）危险化学品运输必须委托有资质的运输单位和人员运输。</w:t>
      </w:r>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11）建设项目应定期对装置、设备设施进行防腐蚀检查保证防腐蚀措施的有效性。</w:t>
      </w:r>
    </w:p>
    <w:p>
      <w:pPr>
        <w:pStyle w:val="7"/>
        <w:pageBreakBefore w:val="0"/>
        <w:kinsoku/>
        <w:wordWrap/>
        <w:overflowPunct/>
        <w:topLinePunct w:val="0"/>
        <w:autoSpaceDE/>
        <w:autoSpaceDN/>
        <w:bidi w:val="0"/>
        <w:spacing w:before="0" w:after="0" w:line="600" w:lineRule="exact"/>
        <w:textAlignment w:val="auto"/>
        <w:rPr>
          <w:rFonts w:hint="eastAsia" w:ascii="宋体" w:hAnsi="宋体" w:eastAsia="宋体" w:cs="宋体"/>
          <w:b/>
          <w:bCs/>
          <w:color w:val="auto"/>
          <w:sz w:val="30"/>
          <w:szCs w:val="30"/>
        </w:rPr>
      </w:pPr>
      <w:bookmarkStart w:id="595" w:name="_Toc10788"/>
      <w:bookmarkStart w:id="596" w:name="_Toc23761"/>
      <w:r>
        <w:rPr>
          <w:rFonts w:hint="eastAsia" w:ascii="宋体" w:hAnsi="宋体" w:eastAsia="宋体" w:cs="宋体"/>
          <w:b/>
          <w:bCs/>
          <w:color w:val="auto"/>
          <w:sz w:val="30"/>
          <w:szCs w:val="30"/>
          <w:lang w:val="en-US" w:eastAsia="zh-CN"/>
        </w:rPr>
        <w:t>8</w:t>
      </w:r>
      <w:r>
        <w:rPr>
          <w:rFonts w:hint="eastAsia" w:ascii="宋体" w:hAnsi="宋体" w:eastAsia="宋体" w:cs="宋体"/>
          <w:b/>
          <w:bCs/>
          <w:color w:val="auto"/>
          <w:sz w:val="30"/>
          <w:szCs w:val="30"/>
        </w:rPr>
        <w:t>.</w:t>
      </w:r>
      <w:r>
        <w:rPr>
          <w:rFonts w:hint="eastAsia" w:ascii="宋体" w:hAnsi="宋体" w:eastAsia="宋体" w:cs="宋体"/>
          <w:b/>
          <w:bCs/>
          <w:color w:val="auto"/>
          <w:sz w:val="30"/>
          <w:szCs w:val="30"/>
          <w:lang w:val="en-US" w:eastAsia="zh-CN"/>
        </w:rPr>
        <w:t>3</w:t>
      </w:r>
      <w:r>
        <w:rPr>
          <w:rFonts w:hint="eastAsia" w:ascii="宋体" w:hAnsi="宋体" w:eastAsia="宋体" w:cs="宋体"/>
          <w:b/>
          <w:bCs/>
          <w:color w:val="auto"/>
          <w:kern w:val="0"/>
          <w:sz w:val="28"/>
          <w:szCs w:val="28"/>
        </w:rPr>
        <w:t>该企业</w:t>
      </w:r>
      <w:r>
        <w:rPr>
          <w:rFonts w:hint="eastAsia" w:ascii="宋体" w:hAnsi="宋体" w:eastAsia="宋体" w:cs="宋体"/>
          <w:b/>
          <w:bCs/>
          <w:color w:val="auto"/>
          <w:sz w:val="30"/>
          <w:szCs w:val="30"/>
        </w:rPr>
        <w:t>项目存在的事故隐患及整改问题</w:t>
      </w:r>
      <w:bookmarkEnd w:id="595"/>
      <w:bookmarkEnd w:id="596"/>
    </w:p>
    <w:p>
      <w:pPr>
        <w:pageBreakBefore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依据有关法规、标准的要求，并结合公司的实际情况，该建项目生产、储存等场所方面存在的问题，并针对存在的问题提出相应的对策措施与建议，以进一步提高该公司的安全管理水平。</w:t>
      </w:r>
    </w:p>
    <w:p>
      <w:pPr>
        <w:pageBreakBefore w:val="0"/>
        <w:kinsoku/>
        <w:wordWrap/>
        <w:overflowPunct/>
        <w:topLinePunct w:val="0"/>
        <w:autoSpaceDE/>
        <w:autoSpaceDN/>
        <w:bidi w:val="0"/>
        <w:spacing w:line="600" w:lineRule="exact"/>
        <w:jc w:val="center"/>
        <w:textAlignment w:val="auto"/>
        <w:rPr>
          <w:rFonts w:hint="eastAsia" w:ascii="宋体" w:hAnsi="宋体" w:eastAsia="宋体" w:cs="宋体"/>
          <w:color w:val="auto"/>
        </w:rPr>
      </w:pPr>
      <w:r>
        <w:rPr>
          <w:rFonts w:hint="eastAsia" w:ascii="宋体" w:hAnsi="宋体" w:eastAsia="宋体" w:cs="宋体"/>
          <w:color w:val="auto"/>
        </w:rPr>
        <w:t>表</w:t>
      </w:r>
      <w:r>
        <w:rPr>
          <w:rFonts w:hint="eastAsia" w:ascii="宋体" w:hAnsi="宋体" w:eastAsia="宋体" w:cs="宋体"/>
          <w:color w:val="auto"/>
          <w:lang w:val="en-US" w:eastAsia="zh-CN"/>
        </w:rPr>
        <w:t>8</w:t>
      </w:r>
      <w:r>
        <w:rPr>
          <w:rFonts w:hint="eastAsia" w:ascii="宋体" w:hAnsi="宋体" w:eastAsia="宋体" w:cs="宋体"/>
          <w:color w:val="auto"/>
        </w:rPr>
        <w:t>-1 整改意见</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4549"/>
        <w:gridCol w:w="3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kern w:val="0"/>
              </w:rPr>
              <w:t>序号</w:t>
            </w:r>
          </w:p>
        </w:tc>
        <w:tc>
          <w:tcPr>
            <w:tcW w:w="2448"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kern w:val="0"/>
              </w:rPr>
              <w:t>安全隐患</w:t>
            </w:r>
          </w:p>
        </w:tc>
        <w:tc>
          <w:tcPr>
            <w:tcW w:w="2091"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kern w:val="0"/>
              </w:rPr>
              <w:t>对策措施与整改建议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lang w:val="en-US" w:eastAsia="zh-CN"/>
              </w:rPr>
              <w:t>1</w:t>
            </w:r>
          </w:p>
        </w:tc>
        <w:tc>
          <w:tcPr>
            <w:tcW w:w="2448" w:type="pct"/>
            <w:tcBorders>
              <w:top w:val="single" w:color="auto" w:sz="4" w:space="0"/>
              <w:left w:val="nil"/>
              <w:bottom w:val="single" w:color="auto" w:sz="4" w:space="0"/>
              <w:right w:val="single" w:color="auto" w:sz="4" w:space="0"/>
            </w:tcBorders>
            <w:noWrap w:val="0"/>
            <w:vAlign w:val="center"/>
          </w:tcPr>
          <w:p>
            <w:pPr>
              <w:snapToGrid w:val="0"/>
              <w:spacing w:line="360" w:lineRule="exact"/>
              <w:rPr>
                <w:rFonts w:hint="eastAsia" w:ascii="宋体" w:hAnsi="宋体" w:eastAsia="宋体" w:cs="宋体"/>
                <w:color w:val="auto"/>
                <w:szCs w:val="21"/>
              </w:rPr>
            </w:pPr>
            <w:r>
              <w:rPr>
                <w:rFonts w:hint="eastAsia" w:ascii="宋体" w:hAnsi="宋体" w:eastAsia="宋体" w:cs="宋体"/>
                <w:color w:val="auto"/>
              </w:rPr>
              <w:t>部分有毒气体报警信号故障；个别报警器数据显示超过标准值未及时处理。</w:t>
            </w:r>
          </w:p>
        </w:tc>
        <w:tc>
          <w:tcPr>
            <w:tcW w:w="2091" w:type="pct"/>
            <w:tcBorders>
              <w:top w:val="single" w:color="auto" w:sz="4" w:space="0"/>
              <w:left w:val="nil"/>
              <w:bottom w:val="single" w:color="auto" w:sz="4" w:space="0"/>
              <w:right w:val="single" w:color="auto" w:sz="4" w:space="0"/>
            </w:tcBorders>
            <w:noWrap w:val="0"/>
            <w:vAlign w:val="center"/>
          </w:tcPr>
          <w:p>
            <w:pPr>
              <w:snapToGrid w:val="0"/>
              <w:spacing w:line="360" w:lineRule="exact"/>
              <w:rPr>
                <w:rFonts w:hint="eastAsia" w:ascii="宋体" w:hAnsi="宋体" w:eastAsia="宋体" w:cs="宋体"/>
                <w:color w:val="auto"/>
                <w:szCs w:val="21"/>
              </w:rPr>
            </w:pPr>
            <w:r>
              <w:rPr>
                <w:rFonts w:hint="eastAsia" w:ascii="宋体" w:hAnsi="宋体" w:eastAsia="宋体" w:cs="宋体"/>
                <w:color w:val="auto"/>
              </w:rPr>
              <w:t>应及时处理。</w:t>
            </w:r>
          </w:p>
        </w:tc>
      </w:tr>
    </w:tbl>
    <w:p>
      <w:pPr>
        <w:pStyle w:val="7"/>
        <w:spacing w:before="0" w:after="0"/>
        <w:rPr>
          <w:rFonts w:hint="eastAsia" w:ascii="宋体" w:hAnsi="宋体" w:eastAsia="宋体" w:cs="宋体"/>
          <w:b/>
          <w:bCs/>
          <w:color w:val="auto"/>
          <w:sz w:val="30"/>
          <w:szCs w:val="30"/>
        </w:rPr>
      </w:pPr>
      <w:bookmarkStart w:id="597" w:name="_Toc4883"/>
      <w:bookmarkStart w:id="598" w:name="_Toc23966"/>
      <w:r>
        <w:rPr>
          <w:rFonts w:hint="eastAsia" w:ascii="宋体" w:hAnsi="宋体" w:eastAsia="宋体" w:cs="宋体"/>
          <w:b/>
          <w:bCs/>
          <w:color w:val="auto"/>
          <w:sz w:val="30"/>
          <w:szCs w:val="30"/>
          <w:lang w:val="en-US" w:eastAsia="zh-CN"/>
        </w:rPr>
        <w:t>8</w:t>
      </w:r>
      <w:r>
        <w:rPr>
          <w:rFonts w:hint="eastAsia" w:ascii="宋体" w:hAnsi="宋体" w:eastAsia="宋体" w:cs="宋体"/>
          <w:b/>
          <w:bCs/>
          <w:color w:val="auto"/>
          <w:sz w:val="30"/>
          <w:szCs w:val="30"/>
        </w:rPr>
        <w:t>.4</w:t>
      </w:r>
      <w:r>
        <w:rPr>
          <w:rFonts w:hint="eastAsia" w:ascii="宋体" w:hAnsi="宋体" w:eastAsia="宋体" w:cs="宋体"/>
          <w:b/>
          <w:bCs/>
          <w:color w:val="auto"/>
          <w:kern w:val="0"/>
          <w:sz w:val="28"/>
          <w:szCs w:val="28"/>
        </w:rPr>
        <w:t>该企业</w:t>
      </w:r>
      <w:r>
        <w:rPr>
          <w:rFonts w:hint="eastAsia" w:ascii="宋体" w:hAnsi="宋体" w:eastAsia="宋体" w:cs="宋体"/>
          <w:b/>
          <w:bCs/>
          <w:color w:val="auto"/>
          <w:sz w:val="30"/>
          <w:szCs w:val="30"/>
        </w:rPr>
        <w:t>项目存在问题及整改情况</w:t>
      </w:r>
      <w:bookmarkEnd w:id="597"/>
      <w:bookmarkEnd w:id="598"/>
    </w:p>
    <w:p>
      <w:pPr>
        <w:bidi w:val="0"/>
        <w:jc w:val="center"/>
        <w:rPr>
          <w:rFonts w:hint="eastAsia" w:ascii="宋体" w:hAnsi="宋体" w:eastAsia="宋体" w:cs="宋体"/>
          <w:color w:val="auto"/>
        </w:rPr>
      </w:pPr>
      <w:r>
        <w:rPr>
          <w:rFonts w:hint="eastAsia" w:ascii="宋体" w:hAnsi="宋体" w:eastAsia="宋体" w:cs="宋体"/>
          <w:color w:val="auto"/>
        </w:rPr>
        <w:t>表</w:t>
      </w:r>
      <w:r>
        <w:rPr>
          <w:rFonts w:hint="eastAsia" w:ascii="宋体" w:hAnsi="宋体" w:eastAsia="宋体" w:cs="宋体"/>
          <w:color w:val="auto"/>
          <w:lang w:val="en-US" w:eastAsia="zh-CN"/>
        </w:rPr>
        <w:t>8</w:t>
      </w:r>
      <w:r>
        <w:rPr>
          <w:rFonts w:hint="eastAsia" w:ascii="宋体" w:hAnsi="宋体" w:eastAsia="宋体" w:cs="宋体"/>
          <w:color w:val="auto"/>
        </w:rPr>
        <w:t>-2 整改意见复查</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2465"/>
        <w:gridCol w:w="2106"/>
        <w:gridCol w:w="2106"/>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kern w:val="0"/>
              </w:rPr>
              <w:t>序号</w:t>
            </w:r>
          </w:p>
        </w:tc>
        <w:tc>
          <w:tcPr>
            <w:tcW w:w="1327"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kern w:val="0"/>
              </w:rPr>
              <w:t>安全隐患</w:t>
            </w:r>
          </w:p>
        </w:tc>
        <w:tc>
          <w:tcPr>
            <w:tcW w:w="1134"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kern w:val="0"/>
              </w:rPr>
              <w:t>对策措施与整改建议</w:t>
            </w:r>
          </w:p>
        </w:tc>
        <w:tc>
          <w:tcPr>
            <w:tcW w:w="1134"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rPr>
              <w:t>整改前照片</w:t>
            </w:r>
          </w:p>
        </w:tc>
        <w:tc>
          <w:tcPr>
            <w:tcW w:w="1135"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auto"/>
                <w:kern w:val="0"/>
                <w:szCs w:val="21"/>
              </w:rPr>
            </w:pPr>
            <w:r>
              <w:rPr>
                <w:rFonts w:hint="eastAsia" w:ascii="宋体" w:hAnsi="宋体" w:eastAsia="宋体" w:cs="宋体"/>
                <w:color w:val="auto"/>
                <w:kern w:val="0"/>
              </w:rPr>
              <w:t>整改后照片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lang w:val="en-US" w:eastAsia="zh-CN"/>
              </w:rPr>
              <w:t>1</w:t>
            </w:r>
          </w:p>
        </w:tc>
        <w:tc>
          <w:tcPr>
            <w:tcW w:w="1327" w:type="pct"/>
            <w:tcBorders>
              <w:top w:val="single" w:color="auto" w:sz="4" w:space="0"/>
              <w:left w:val="nil"/>
              <w:bottom w:val="single" w:color="auto" w:sz="4" w:space="0"/>
              <w:right w:val="single" w:color="auto" w:sz="4" w:space="0"/>
            </w:tcBorders>
            <w:noWrap w:val="0"/>
            <w:vAlign w:val="center"/>
          </w:tcPr>
          <w:p>
            <w:pPr>
              <w:snapToGrid w:val="0"/>
              <w:spacing w:line="360" w:lineRule="exact"/>
              <w:rPr>
                <w:rFonts w:hint="eastAsia" w:ascii="宋体" w:hAnsi="宋体" w:eastAsia="宋体" w:cs="宋体"/>
                <w:color w:val="auto"/>
                <w:szCs w:val="21"/>
              </w:rPr>
            </w:pPr>
            <w:r>
              <w:rPr>
                <w:rFonts w:hint="eastAsia" w:ascii="宋体" w:hAnsi="宋体" w:eastAsia="宋体" w:cs="宋体"/>
                <w:color w:val="auto"/>
              </w:rPr>
              <w:t>部分有毒气体报警信号故障；个别报警器数据显示超过标准值未及时处理。</w:t>
            </w:r>
          </w:p>
        </w:tc>
        <w:tc>
          <w:tcPr>
            <w:tcW w:w="1134" w:type="pct"/>
            <w:tcBorders>
              <w:top w:val="single" w:color="auto" w:sz="4" w:space="0"/>
              <w:left w:val="nil"/>
              <w:bottom w:val="single" w:color="auto" w:sz="4" w:space="0"/>
              <w:right w:val="single" w:color="auto" w:sz="4" w:space="0"/>
            </w:tcBorders>
            <w:noWrap w:val="0"/>
            <w:vAlign w:val="center"/>
          </w:tcPr>
          <w:p>
            <w:pPr>
              <w:snapToGrid w:val="0"/>
              <w:spacing w:line="360" w:lineRule="exact"/>
              <w:rPr>
                <w:rFonts w:hint="eastAsia" w:ascii="宋体" w:hAnsi="宋体" w:eastAsia="宋体" w:cs="宋体"/>
                <w:color w:val="auto"/>
                <w:szCs w:val="21"/>
              </w:rPr>
            </w:pPr>
            <w:r>
              <w:rPr>
                <w:rFonts w:hint="eastAsia" w:ascii="宋体" w:hAnsi="宋体" w:eastAsia="宋体" w:cs="宋体"/>
                <w:color w:val="auto"/>
              </w:rPr>
              <w:t>应及时处理。</w:t>
            </w:r>
          </w:p>
        </w:tc>
        <w:tc>
          <w:tcPr>
            <w:tcW w:w="1134" w:type="pct"/>
            <w:tcBorders>
              <w:top w:val="single" w:color="auto" w:sz="4" w:space="0"/>
              <w:left w:val="nil"/>
              <w:bottom w:val="single" w:color="auto" w:sz="4" w:space="0"/>
              <w:right w:val="single" w:color="auto" w:sz="4" w:space="0"/>
            </w:tcBorders>
            <w:noWrap w:val="0"/>
            <w:vAlign w:val="center"/>
          </w:tcPr>
          <w:p>
            <w:pPr>
              <w:snapToGrid w:val="0"/>
              <w:spacing w:line="360" w:lineRule="exact"/>
              <w:rPr>
                <w:rFonts w:hint="eastAsia" w:ascii="宋体" w:hAnsi="宋体" w:eastAsia="宋体" w:cs="宋体"/>
                <w:color w:val="auto"/>
                <w:szCs w:val="21"/>
              </w:rPr>
            </w:pPr>
          </w:p>
        </w:tc>
        <w:tc>
          <w:tcPr>
            <w:tcW w:w="1135" w:type="pct"/>
            <w:tcBorders>
              <w:top w:val="single" w:color="auto" w:sz="4" w:space="0"/>
              <w:left w:val="nil"/>
              <w:bottom w:val="single" w:color="auto" w:sz="4" w:space="0"/>
              <w:right w:val="single" w:color="auto" w:sz="4" w:space="0"/>
            </w:tcBorders>
            <w:noWrap w:val="0"/>
            <w:vAlign w:val="center"/>
          </w:tcPr>
          <w:p>
            <w:pPr>
              <w:snapToGrid w:val="0"/>
              <w:spacing w:line="360" w:lineRule="exact"/>
              <w:rPr>
                <w:rFonts w:hint="eastAsia" w:ascii="宋体" w:hAnsi="宋体" w:eastAsia="宋体" w:cs="宋体"/>
                <w:color w:val="auto"/>
                <w:szCs w:val="21"/>
              </w:rPr>
            </w:pPr>
            <w:r>
              <w:rPr>
                <w:rFonts w:hint="eastAsia" w:ascii="宋体" w:hAnsi="宋体" w:eastAsia="宋体" w:cs="宋体"/>
                <w:color w:val="auto"/>
                <w:szCs w:val="21"/>
              </w:rPr>
              <w:drawing>
                <wp:anchor distT="0" distB="0" distL="114300" distR="114300" simplePos="0" relativeHeight="251662336" behindDoc="1" locked="0" layoutInCell="1" allowOverlap="1">
                  <wp:simplePos x="0" y="0"/>
                  <wp:positionH relativeFrom="column">
                    <wp:posOffset>0</wp:posOffset>
                  </wp:positionH>
                  <wp:positionV relativeFrom="paragraph">
                    <wp:posOffset>-287020</wp:posOffset>
                  </wp:positionV>
                  <wp:extent cx="1083310" cy="812800"/>
                  <wp:effectExtent l="0" t="0" r="2540" b="6350"/>
                  <wp:wrapTight wrapText="bothSides">
                    <wp:wrapPolygon>
                      <wp:start x="0" y="0"/>
                      <wp:lineTo x="0" y="21263"/>
                      <wp:lineTo x="21271" y="21263"/>
                      <wp:lineTo x="21271" y="0"/>
                      <wp:lineTo x="0" y="0"/>
                    </wp:wrapPolygon>
                  </wp:wrapTight>
                  <wp:docPr id="13" name="图片 5" descr="4cb60c3f07c38061de6f63bb59ab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4cb60c3f07c38061de6f63bb59ab40a"/>
                          <pic:cNvPicPr>
                            <a:picLocks noChangeAspect="1"/>
                          </pic:cNvPicPr>
                        </pic:nvPicPr>
                        <pic:blipFill>
                          <a:blip r:embed="rId18"/>
                          <a:stretch>
                            <a:fillRect/>
                          </a:stretch>
                        </pic:blipFill>
                        <pic:spPr>
                          <a:xfrm>
                            <a:off x="0" y="0"/>
                            <a:ext cx="1083310" cy="812800"/>
                          </a:xfrm>
                          <a:prstGeom prst="rect">
                            <a:avLst/>
                          </a:prstGeom>
                          <a:noFill/>
                          <a:ln>
                            <a:noFill/>
                          </a:ln>
                        </pic:spPr>
                      </pic:pic>
                    </a:graphicData>
                  </a:graphic>
                </wp:anchor>
              </w:drawing>
            </w:r>
          </w:p>
        </w:tc>
      </w:tr>
    </w:tbl>
    <w:p>
      <w:pPr>
        <w:rPr>
          <w:rFonts w:hint="eastAsia" w:ascii="宋体" w:hAnsi="宋体" w:eastAsia="宋体" w:cs="宋体"/>
          <w:color w:val="auto"/>
          <w:szCs w:val="32"/>
          <w:lang w:val="en-US" w:eastAsia="zh-CN"/>
        </w:rPr>
      </w:pPr>
      <w:r>
        <w:rPr>
          <w:rFonts w:hint="eastAsia" w:ascii="宋体" w:hAnsi="宋体" w:eastAsia="宋体" w:cs="宋体"/>
          <w:color w:val="auto"/>
          <w:szCs w:val="32"/>
          <w:lang w:val="en-US" w:eastAsia="zh-CN"/>
        </w:rPr>
        <w:br w:type="page"/>
      </w:r>
    </w:p>
    <w:p>
      <w:pPr>
        <w:pStyle w:val="6"/>
        <w:pageBreakBefore w:val="0"/>
        <w:kinsoku/>
        <w:wordWrap/>
        <w:overflowPunct/>
        <w:topLinePunct w:val="0"/>
        <w:autoSpaceDE/>
        <w:autoSpaceDN/>
        <w:bidi w:val="0"/>
        <w:spacing w:line="600" w:lineRule="exact"/>
        <w:textAlignment w:val="auto"/>
        <w:rPr>
          <w:rFonts w:hint="eastAsia" w:ascii="宋体" w:hAnsi="宋体" w:eastAsia="宋体" w:cs="宋体"/>
          <w:color w:val="auto"/>
          <w:szCs w:val="32"/>
        </w:rPr>
      </w:pPr>
      <w:bookmarkStart w:id="599" w:name="_Toc29051"/>
      <w:r>
        <w:rPr>
          <w:rFonts w:hint="eastAsia" w:ascii="宋体" w:hAnsi="宋体" w:eastAsia="宋体" w:cs="宋体"/>
          <w:color w:val="auto"/>
          <w:szCs w:val="32"/>
          <w:lang w:val="en-US" w:eastAsia="zh-CN"/>
        </w:rPr>
        <w:t>9</w:t>
      </w:r>
      <w:r>
        <w:rPr>
          <w:rFonts w:hint="eastAsia" w:ascii="宋体" w:hAnsi="宋体" w:eastAsia="宋体" w:cs="宋体"/>
          <w:color w:val="auto"/>
          <w:szCs w:val="32"/>
        </w:rPr>
        <w:t>评价结论</w:t>
      </w:r>
      <w:bookmarkEnd w:id="585"/>
      <w:bookmarkEnd w:id="586"/>
      <w:bookmarkEnd w:id="587"/>
      <w:bookmarkEnd w:id="588"/>
      <w:bookmarkEnd w:id="589"/>
      <w:bookmarkEnd w:id="599"/>
    </w:p>
    <w:p>
      <w:pPr>
        <w:pageBreakBefore w:val="0"/>
        <w:kinsoku/>
        <w:wordWrap/>
        <w:overflowPunct/>
        <w:topLinePunct w:val="0"/>
        <w:autoSpaceDE/>
        <w:autoSpaceDN/>
        <w:bidi w:val="0"/>
        <w:adjustRightInd w:val="0"/>
        <w:snapToGrid w:val="0"/>
        <w:spacing w:line="600" w:lineRule="exact"/>
        <w:ind w:firstLine="534" w:firstLineChars="191"/>
        <w:textAlignment w:val="auto"/>
        <w:rPr>
          <w:rFonts w:hint="eastAsia" w:ascii="宋体" w:hAnsi="宋体" w:eastAsia="宋体" w:cs="宋体"/>
          <w:color w:val="auto"/>
          <w:szCs w:val="28"/>
        </w:rPr>
      </w:pPr>
      <w:bookmarkStart w:id="600" w:name="_Toc111106242"/>
      <w:bookmarkStart w:id="601" w:name="_Toc166919857"/>
      <w:bookmarkStart w:id="602" w:name="_Toc213219795"/>
      <w:bookmarkStart w:id="603" w:name="_Toc145841678"/>
      <w:bookmarkStart w:id="604" w:name="_Toc213219714"/>
      <w:bookmarkStart w:id="605" w:name="_Toc199581548"/>
      <w:bookmarkStart w:id="606" w:name="_Toc227672695"/>
      <w:bookmarkStart w:id="607" w:name="_Toc213219631"/>
      <w:bookmarkStart w:id="608" w:name="_Toc213219156"/>
      <w:bookmarkStart w:id="609" w:name="_Toc97050229"/>
      <w:bookmarkStart w:id="610" w:name="_Toc115317620"/>
      <w:bookmarkStart w:id="611" w:name="_Toc341993554"/>
      <w:r>
        <w:rPr>
          <w:rFonts w:hint="eastAsia" w:ascii="宋体" w:hAnsi="宋体" w:eastAsia="宋体" w:cs="宋体"/>
          <w:color w:val="auto"/>
          <w:szCs w:val="28"/>
        </w:rPr>
        <w:t>1、根据《危险化学品名录》（2015版）辨识，该工程涉及的的氨气、氨水属于危险化学品；其中氨气属于易燃气体类别2、急性毒性-吸入,类别3*、皮肤腐蚀/刺激,类别1B、严重眼损伤/眼刺激,类别1，氨水属于皮肤腐蚀/刺激,类别1B、严重眼损伤/眼刺激,类别1。氨气属于国家重点监管的危险化学品。</w:t>
      </w:r>
    </w:p>
    <w:p>
      <w:pPr>
        <w:pageBreakBefore w:val="0"/>
        <w:kinsoku/>
        <w:wordWrap/>
        <w:overflowPunct/>
        <w:topLinePunct w:val="0"/>
        <w:autoSpaceDE/>
        <w:autoSpaceDN/>
        <w:bidi w:val="0"/>
        <w:adjustRightInd w:val="0"/>
        <w:snapToGrid w:val="0"/>
        <w:spacing w:line="600" w:lineRule="exact"/>
        <w:ind w:firstLine="534" w:firstLineChars="191"/>
        <w:textAlignment w:val="auto"/>
        <w:rPr>
          <w:rFonts w:hint="eastAsia" w:ascii="宋体" w:hAnsi="宋体" w:eastAsia="宋体" w:cs="宋体"/>
          <w:color w:val="auto"/>
          <w:szCs w:val="28"/>
        </w:rPr>
      </w:pPr>
      <w:r>
        <w:rPr>
          <w:rFonts w:hint="eastAsia" w:ascii="宋体" w:hAnsi="宋体" w:eastAsia="宋体" w:cs="宋体"/>
          <w:color w:val="auto"/>
          <w:szCs w:val="28"/>
        </w:rPr>
        <w:t>2、该工程生产经营过程中涉及的物料未超过《危险化学品重大危险源辨识》规定的临界量，未构成危险化学品重大危险源。</w:t>
      </w:r>
    </w:p>
    <w:p>
      <w:pPr>
        <w:pageBreakBefore w:val="0"/>
        <w:kinsoku/>
        <w:wordWrap/>
        <w:overflowPunct/>
        <w:topLinePunct w:val="0"/>
        <w:autoSpaceDE/>
        <w:autoSpaceDN/>
        <w:bidi w:val="0"/>
        <w:adjustRightInd w:val="0"/>
        <w:snapToGrid w:val="0"/>
        <w:spacing w:line="600" w:lineRule="exact"/>
        <w:ind w:firstLine="534" w:firstLineChars="191"/>
        <w:textAlignment w:val="auto"/>
        <w:rPr>
          <w:rFonts w:hint="eastAsia" w:ascii="宋体" w:hAnsi="宋体" w:eastAsia="宋体" w:cs="宋体"/>
          <w:color w:val="auto"/>
          <w:szCs w:val="28"/>
        </w:rPr>
      </w:pPr>
      <w:r>
        <w:rPr>
          <w:rFonts w:hint="eastAsia" w:ascii="宋体" w:hAnsi="宋体" w:eastAsia="宋体" w:cs="宋体"/>
          <w:color w:val="auto"/>
          <w:szCs w:val="28"/>
        </w:rPr>
        <w:t>3、该工程生产工艺进行辨别，该工程生产工艺不属于化工工艺。所以不属于重点监管的危险化工工艺。</w:t>
      </w:r>
    </w:p>
    <w:p>
      <w:pPr>
        <w:pageBreakBefore w:val="0"/>
        <w:kinsoku/>
        <w:wordWrap/>
        <w:overflowPunct/>
        <w:topLinePunct w:val="0"/>
        <w:autoSpaceDE/>
        <w:autoSpaceDN/>
        <w:bidi w:val="0"/>
        <w:adjustRightInd w:val="0"/>
        <w:snapToGrid w:val="0"/>
        <w:spacing w:line="600" w:lineRule="exact"/>
        <w:ind w:firstLine="534" w:firstLineChars="191"/>
        <w:textAlignment w:val="auto"/>
        <w:rPr>
          <w:rFonts w:hint="eastAsia" w:ascii="宋体" w:hAnsi="宋体" w:eastAsia="宋体" w:cs="宋体"/>
          <w:color w:val="auto"/>
          <w:szCs w:val="28"/>
        </w:rPr>
      </w:pPr>
      <w:r>
        <w:rPr>
          <w:rFonts w:hint="eastAsia" w:ascii="宋体" w:hAnsi="宋体" w:eastAsia="宋体" w:cs="宋体"/>
          <w:color w:val="auto"/>
          <w:szCs w:val="28"/>
        </w:rPr>
        <w:t>4、该工程在生产经营过程中存在的主要危险有害因素有：火灾爆炸、中毒和窒息、灼伤、触电、车辆伤害、机械伤害、物体打击、高处坠落、高温、与手工操有关危险有害因素的识别等，同时可能存在人为失误和管理缺陷。</w:t>
      </w:r>
    </w:p>
    <w:p>
      <w:pPr>
        <w:pageBreakBefore w:val="0"/>
        <w:kinsoku/>
        <w:wordWrap/>
        <w:overflowPunct/>
        <w:topLinePunct w:val="0"/>
        <w:autoSpaceDE/>
        <w:autoSpaceDN/>
        <w:bidi w:val="0"/>
        <w:adjustRightInd w:val="0"/>
        <w:snapToGrid w:val="0"/>
        <w:spacing w:line="600" w:lineRule="exact"/>
        <w:ind w:firstLine="534" w:firstLineChars="191"/>
        <w:textAlignment w:val="auto"/>
        <w:rPr>
          <w:rFonts w:hint="eastAsia" w:ascii="宋体" w:hAnsi="宋体" w:eastAsia="宋体" w:cs="宋体"/>
          <w:color w:val="auto"/>
          <w:szCs w:val="28"/>
        </w:rPr>
      </w:pPr>
      <w:r>
        <w:rPr>
          <w:rFonts w:hint="eastAsia" w:ascii="宋体" w:hAnsi="宋体" w:eastAsia="宋体" w:cs="宋体"/>
          <w:color w:val="auto"/>
          <w:szCs w:val="28"/>
        </w:rPr>
        <w:t>5、危险度评价：危险程度为低度危险，这是由于企业采取了相应措施，其危险程度为低度危险。</w:t>
      </w:r>
    </w:p>
    <w:p>
      <w:pPr>
        <w:pageBreakBefore w:val="0"/>
        <w:kinsoku/>
        <w:wordWrap/>
        <w:overflowPunct/>
        <w:topLinePunct w:val="0"/>
        <w:autoSpaceDE/>
        <w:autoSpaceDN/>
        <w:bidi w:val="0"/>
        <w:adjustRightInd w:val="0"/>
        <w:snapToGrid w:val="0"/>
        <w:spacing w:line="600" w:lineRule="exact"/>
        <w:ind w:firstLine="534" w:firstLineChars="191"/>
        <w:textAlignment w:val="auto"/>
        <w:rPr>
          <w:rFonts w:hint="eastAsia" w:ascii="宋体" w:hAnsi="宋体" w:eastAsia="宋体" w:cs="宋体"/>
          <w:color w:val="auto"/>
          <w:szCs w:val="28"/>
        </w:rPr>
      </w:pPr>
      <w:r>
        <w:rPr>
          <w:rFonts w:hint="eastAsia" w:ascii="宋体" w:hAnsi="宋体" w:eastAsia="宋体" w:cs="宋体"/>
          <w:color w:val="auto"/>
          <w:szCs w:val="28"/>
        </w:rPr>
        <w:t>6、总体布局与常规防护设施、工艺和设备设施、公用设施等检查情况，符合安全要求。</w:t>
      </w:r>
    </w:p>
    <w:p>
      <w:pPr>
        <w:pageBreakBefore w:val="0"/>
        <w:kinsoku/>
        <w:wordWrap/>
        <w:overflowPunct/>
        <w:topLinePunct w:val="0"/>
        <w:autoSpaceDE/>
        <w:autoSpaceDN/>
        <w:bidi w:val="0"/>
        <w:adjustRightInd w:val="0"/>
        <w:snapToGrid w:val="0"/>
        <w:spacing w:line="600" w:lineRule="exact"/>
        <w:ind w:firstLine="534" w:firstLineChars="191"/>
        <w:textAlignment w:val="auto"/>
        <w:rPr>
          <w:rFonts w:hint="eastAsia" w:ascii="宋体" w:hAnsi="宋体" w:eastAsia="宋体" w:cs="宋体"/>
          <w:color w:val="auto"/>
          <w:szCs w:val="28"/>
        </w:rPr>
      </w:pPr>
      <w:r>
        <w:rPr>
          <w:rFonts w:hint="eastAsia" w:ascii="宋体" w:hAnsi="宋体" w:eastAsia="宋体" w:cs="宋体"/>
          <w:color w:val="auto"/>
          <w:szCs w:val="28"/>
        </w:rPr>
        <w:t>7、该工程配备的强制检验设备、设施检验情况、公用工程设施等检查情况，基本符合规范要求，可满足安全生产要求。</w:t>
      </w:r>
    </w:p>
    <w:p>
      <w:pPr>
        <w:pageBreakBefore w:val="0"/>
        <w:kinsoku/>
        <w:wordWrap/>
        <w:overflowPunct/>
        <w:topLinePunct w:val="0"/>
        <w:autoSpaceDE/>
        <w:autoSpaceDN/>
        <w:bidi w:val="0"/>
        <w:adjustRightInd w:val="0"/>
        <w:snapToGrid w:val="0"/>
        <w:spacing w:line="600" w:lineRule="exact"/>
        <w:ind w:firstLine="534" w:firstLineChars="191"/>
        <w:textAlignment w:val="auto"/>
        <w:rPr>
          <w:rFonts w:hint="eastAsia" w:ascii="宋体" w:hAnsi="宋体" w:eastAsia="宋体" w:cs="宋体"/>
          <w:color w:val="auto"/>
          <w:szCs w:val="28"/>
        </w:rPr>
      </w:pPr>
      <w:r>
        <w:rPr>
          <w:rFonts w:hint="eastAsia" w:ascii="宋体" w:hAnsi="宋体" w:eastAsia="宋体" w:cs="宋体"/>
          <w:color w:val="auto"/>
          <w:szCs w:val="28"/>
        </w:rPr>
        <w:t>8、企业建立了完善的安全管理机构、安全管理制度和事故应急救援预案，配备了安全管理人员，可满足安全生产的要求。</w:t>
      </w:r>
    </w:p>
    <w:p>
      <w:pPr>
        <w:pageBreakBefore w:val="0"/>
        <w:kinsoku/>
        <w:wordWrap/>
        <w:overflowPunct/>
        <w:topLinePunct w:val="0"/>
        <w:autoSpaceDE/>
        <w:autoSpaceDN/>
        <w:bidi w:val="0"/>
        <w:adjustRightInd w:val="0"/>
        <w:snapToGrid w:val="0"/>
        <w:spacing w:line="600" w:lineRule="exact"/>
        <w:ind w:firstLine="534" w:firstLineChars="191"/>
        <w:textAlignment w:val="auto"/>
        <w:rPr>
          <w:rFonts w:hint="eastAsia" w:ascii="宋体" w:hAnsi="宋体" w:eastAsia="宋体" w:cs="宋体"/>
          <w:color w:val="auto"/>
          <w:szCs w:val="28"/>
        </w:rPr>
      </w:pPr>
      <w:r>
        <w:rPr>
          <w:rFonts w:hint="eastAsia" w:ascii="宋体" w:hAnsi="宋体" w:eastAsia="宋体" w:cs="宋体"/>
          <w:color w:val="auto"/>
          <w:szCs w:val="28"/>
        </w:rPr>
        <w:t>9、</w:t>
      </w:r>
      <w:r>
        <w:rPr>
          <w:rFonts w:hint="eastAsia" w:ascii="宋体" w:hAnsi="宋体" w:eastAsia="宋体" w:cs="宋体"/>
          <w:color w:val="auto"/>
          <w:szCs w:val="28"/>
          <w:lang w:val="zh-CN"/>
        </w:rPr>
        <w:t>江西兆驰半导体有限公司（氨水回收装置）</w:t>
      </w:r>
      <w:r>
        <w:rPr>
          <w:rFonts w:hint="eastAsia" w:ascii="宋体" w:hAnsi="宋体" w:eastAsia="宋体" w:cs="宋体"/>
          <w:color w:val="auto"/>
          <w:szCs w:val="28"/>
        </w:rPr>
        <w:t>的选址和总平面布置、厂区道路安全、预防、控制、减少与消除事故影响设施以及常规防护设施基本符合要求；电气设备安装、消防验收均符合要求；强制检测设备设施基本符合规范要求；对机械伤害防护措施、安全管理符合安全生产条件；该企业申办相关的安全经营许可的条件检查符合要求。</w:t>
      </w:r>
    </w:p>
    <w:p>
      <w:pPr>
        <w:pageBreakBefore w:val="0"/>
        <w:kinsoku/>
        <w:wordWrap/>
        <w:overflowPunct/>
        <w:topLinePunct w:val="0"/>
        <w:autoSpaceDE/>
        <w:autoSpaceDN/>
        <w:bidi w:val="0"/>
        <w:adjustRightInd w:val="0"/>
        <w:snapToGrid w:val="0"/>
        <w:spacing w:line="600" w:lineRule="exact"/>
        <w:ind w:firstLine="540" w:firstLineChars="192"/>
        <w:textAlignment w:val="auto"/>
        <w:rPr>
          <w:rFonts w:hint="eastAsia" w:ascii="宋体" w:hAnsi="宋体" w:eastAsia="宋体" w:cs="宋体"/>
          <w:b/>
          <w:bCs/>
          <w:color w:val="auto"/>
          <w:spacing w:val="-4"/>
          <w:szCs w:val="28"/>
        </w:rPr>
      </w:pPr>
      <w:r>
        <w:rPr>
          <w:rFonts w:hint="eastAsia" w:ascii="宋体" w:hAnsi="宋体" w:eastAsia="宋体" w:cs="宋体"/>
          <w:b/>
          <w:bCs/>
          <w:color w:val="auto"/>
          <w:szCs w:val="28"/>
        </w:rPr>
        <w:t>综</w:t>
      </w:r>
      <w:r>
        <w:rPr>
          <w:rFonts w:hint="eastAsia" w:ascii="宋体" w:hAnsi="宋体" w:eastAsia="宋体" w:cs="宋体"/>
          <w:b/>
          <w:color w:val="auto"/>
          <w:szCs w:val="28"/>
        </w:rPr>
        <w:t>上所述：</w:t>
      </w:r>
      <w:r>
        <w:rPr>
          <w:rFonts w:hint="eastAsia" w:ascii="宋体" w:hAnsi="宋体" w:eastAsia="宋体" w:cs="宋体"/>
          <w:b/>
          <w:color w:val="auto"/>
          <w:szCs w:val="28"/>
          <w:lang w:val="zh-CN"/>
        </w:rPr>
        <w:t>江西兆驰半导体有限公司（氨水回收装置）生产</w:t>
      </w:r>
      <w:r>
        <w:rPr>
          <w:rFonts w:hint="eastAsia" w:ascii="宋体" w:hAnsi="宋体" w:eastAsia="宋体" w:cs="宋体"/>
          <w:b/>
          <w:color w:val="auto"/>
          <w:szCs w:val="28"/>
        </w:rPr>
        <w:t>经营过程中，企业按相关法规、规范要求采取了相应的</w:t>
      </w:r>
      <w:r>
        <w:rPr>
          <w:rFonts w:hint="eastAsia" w:ascii="宋体" w:hAnsi="宋体" w:eastAsia="宋体" w:cs="宋体"/>
          <w:b/>
          <w:bCs/>
          <w:color w:val="auto"/>
          <w:szCs w:val="28"/>
        </w:rPr>
        <w:t>技术设施和安全管理措施</w:t>
      </w:r>
      <w:r>
        <w:rPr>
          <w:rFonts w:hint="eastAsia" w:ascii="宋体" w:hAnsi="宋体" w:eastAsia="宋体" w:cs="宋体"/>
          <w:b/>
          <w:color w:val="auto"/>
          <w:szCs w:val="28"/>
        </w:rPr>
        <w:t>，</w:t>
      </w:r>
      <w:r>
        <w:rPr>
          <w:rFonts w:hint="eastAsia" w:ascii="宋体" w:hAnsi="宋体" w:eastAsia="宋体" w:cs="宋体"/>
          <w:b/>
          <w:bCs/>
          <w:color w:val="auto"/>
          <w:szCs w:val="28"/>
        </w:rPr>
        <w:t>其风险可控，在可接受范围，满足安全生产条件</w:t>
      </w:r>
      <w:r>
        <w:rPr>
          <w:rFonts w:hint="eastAsia" w:ascii="宋体" w:hAnsi="宋体" w:eastAsia="宋体" w:cs="宋体"/>
          <w:b/>
          <w:color w:val="auto"/>
          <w:szCs w:val="28"/>
        </w:rPr>
        <w:t>。</w:t>
      </w:r>
      <w:bookmarkStart w:id="612" w:name="_Toc3794"/>
      <w:bookmarkStart w:id="613" w:name="_Toc372208717"/>
      <w:bookmarkStart w:id="614" w:name="_Toc338249361"/>
      <w:bookmarkStart w:id="615" w:name="_Toc29157"/>
      <w:bookmarkStart w:id="616" w:name="_Toc409074896"/>
      <w:bookmarkStart w:id="617" w:name="_Toc486427826"/>
    </w:p>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Pr>
        <w:pageBreakBefore w:val="0"/>
        <w:kinsoku/>
        <w:wordWrap/>
        <w:overflowPunct/>
        <w:topLinePunct w:val="0"/>
        <w:autoSpaceDE/>
        <w:autoSpaceDN/>
        <w:bidi w:val="0"/>
        <w:spacing w:line="600" w:lineRule="exact"/>
        <w:ind w:firstLine="643" w:firstLineChars="200"/>
        <w:jc w:val="center"/>
        <w:textAlignment w:val="auto"/>
        <w:rPr>
          <w:rStyle w:val="34"/>
          <w:rFonts w:hint="eastAsia" w:ascii="宋体" w:hAnsi="宋体" w:eastAsia="宋体" w:cs="宋体"/>
          <w:color w:val="auto"/>
        </w:rPr>
      </w:pPr>
      <w:r>
        <w:rPr>
          <w:rStyle w:val="34"/>
          <w:rFonts w:hint="eastAsia" w:ascii="宋体" w:hAnsi="宋体" w:eastAsia="宋体" w:cs="宋体"/>
          <w:color w:val="auto"/>
        </w:rPr>
        <w:br w:type="page"/>
      </w:r>
      <w:bookmarkStart w:id="618" w:name="_Toc15647"/>
      <w:bookmarkStart w:id="619" w:name="_Toc16196"/>
      <w:r>
        <w:rPr>
          <w:rStyle w:val="34"/>
          <w:rFonts w:hint="eastAsia" w:ascii="宋体" w:hAnsi="宋体" w:eastAsia="宋体" w:cs="宋体"/>
          <w:color w:val="auto"/>
        </w:rPr>
        <w:t>附件目录</w:t>
      </w:r>
      <w:bookmarkEnd w:id="513"/>
    </w:p>
    <w:bookmarkEnd w:id="618"/>
    <w:bookmarkEnd w:id="619"/>
    <w:p>
      <w:pPr>
        <w:pageBreakBefore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 xml:space="preserve">1、工商营业执照 </w:t>
      </w:r>
    </w:p>
    <w:p>
      <w:pPr>
        <w:pageBreakBefore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2、土地使用证、用地规划许可证</w:t>
      </w:r>
    </w:p>
    <w:p>
      <w:pPr>
        <w:pageBreakBefore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3、消防验收意见书</w:t>
      </w:r>
    </w:p>
    <w:p>
      <w:pPr>
        <w:pageBreakBefore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auto"/>
          <w:szCs w:val="28"/>
          <w:lang w:eastAsia="zh-CN"/>
        </w:rPr>
      </w:pPr>
      <w:r>
        <w:rPr>
          <w:rFonts w:hint="eastAsia" w:ascii="宋体" w:hAnsi="宋体" w:eastAsia="宋体" w:cs="宋体"/>
          <w:color w:val="auto"/>
          <w:szCs w:val="28"/>
        </w:rPr>
        <w:t>4、企业主要负责人、安全管理人员、特种作业人员资格证书</w:t>
      </w:r>
      <w:r>
        <w:rPr>
          <w:rFonts w:hint="eastAsia" w:ascii="宋体" w:hAnsi="宋体" w:eastAsia="宋体" w:cs="宋体"/>
          <w:color w:val="auto"/>
          <w:szCs w:val="28"/>
          <w:lang w:eastAsia="zh-CN"/>
        </w:rPr>
        <w:t>、毕业证</w:t>
      </w:r>
    </w:p>
    <w:p>
      <w:pPr>
        <w:pageBreakBefore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5、防雷</w:t>
      </w:r>
      <w:r>
        <w:rPr>
          <w:rFonts w:hint="eastAsia" w:ascii="宋体" w:hAnsi="宋体" w:eastAsia="宋体" w:cs="宋体"/>
          <w:color w:val="auto"/>
          <w:szCs w:val="28"/>
          <w:lang w:eastAsia="zh-CN"/>
        </w:rPr>
        <w:t>、防静电</w:t>
      </w:r>
      <w:r>
        <w:rPr>
          <w:rFonts w:hint="eastAsia" w:ascii="宋体" w:hAnsi="宋体" w:eastAsia="宋体" w:cs="宋体"/>
          <w:color w:val="auto"/>
          <w:szCs w:val="28"/>
        </w:rPr>
        <w:t>检测报告</w:t>
      </w:r>
    </w:p>
    <w:p>
      <w:pPr>
        <w:pageBreakBefore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7、员工缴纳工伤保险的证明材料</w:t>
      </w:r>
    </w:p>
    <w:p>
      <w:pPr>
        <w:pageBreakBefore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8、操作规程</w:t>
      </w:r>
    </w:p>
    <w:p>
      <w:pPr>
        <w:pageBreakBefore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9、事故应急救援预案备案登记表</w:t>
      </w:r>
    </w:p>
    <w:p>
      <w:pPr>
        <w:pageBreakBefore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auto"/>
          <w:szCs w:val="28"/>
        </w:rPr>
      </w:pPr>
      <w:r>
        <w:rPr>
          <w:rFonts w:hint="eastAsia" w:ascii="宋体" w:hAnsi="宋体" w:eastAsia="宋体" w:cs="宋体"/>
          <w:color w:val="auto"/>
          <w:szCs w:val="28"/>
        </w:rPr>
        <w:t>11、总平面布置图</w:t>
      </w:r>
    </w:p>
    <w:p>
      <w:pPr>
        <w:pageBreakBefore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auto"/>
          <w:szCs w:val="28"/>
        </w:rPr>
        <w:sectPr>
          <w:pgSz w:w="11906" w:h="16838"/>
          <w:pgMar w:top="1417" w:right="1417" w:bottom="1417" w:left="1417" w:header="851" w:footer="992" w:gutter="0"/>
          <w:pgNumType w:fmt="decimal"/>
          <w:cols w:space="720" w:num="1"/>
          <w:docGrid w:type="lines" w:linePitch="312" w:charSpace="0"/>
        </w:sectPr>
      </w:pPr>
      <w:r>
        <w:rPr>
          <w:rFonts w:hint="eastAsia" w:ascii="宋体" w:hAnsi="宋体" w:eastAsia="宋体" w:cs="宋体"/>
          <w:color w:val="auto"/>
          <w:szCs w:val="28"/>
        </w:rPr>
        <w:t>12、企业提供的其他资料附件</w:t>
      </w:r>
    </w:p>
    <w:p>
      <w:pPr>
        <w:pStyle w:val="6"/>
        <w:spacing w:line="600" w:lineRule="exact"/>
        <w:jc w:val="both"/>
        <w:rPr>
          <w:rFonts w:hint="eastAsia" w:ascii="宋体" w:hAnsi="宋体" w:eastAsia="宋体" w:cs="宋体"/>
          <w:bCs w:val="0"/>
          <w:color w:val="auto"/>
          <w:kern w:val="2"/>
          <w:sz w:val="28"/>
          <w:szCs w:val="28"/>
        </w:rPr>
      </w:pPr>
      <w:bookmarkStart w:id="620" w:name="_Toc16064"/>
      <w:bookmarkStart w:id="621" w:name="_Toc24712"/>
      <w:bookmarkStart w:id="622" w:name="_Toc5434"/>
      <w:bookmarkStart w:id="623" w:name="_Toc525109179"/>
      <w:bookmarkStart w:id="624" w:name="_Toc5328"/>
      <w:r>
        <w:rPr>
          <w:rFonts w:hint="eastAsia" w:ascii="宋体" w:hAnsi="宋体" w:eastAsia="宋体" w:cs="宋体"/>
          <w:bCs w:val="0"/>
          <w:color w:val="auto"/>
          <w:kern w:val="2"/>
          <w:sz w:val="28"/>
          <w:szCs w:val="28"/>
        </w:rPr>
        <w:t>附件一：企业涉及的危险化学品理化性质及危险特性表</w:t>
      </w:r>
      <w:bookmarkEnd w:id="620"/>
      <w:bookmarkEnd w:id="621"/>
      <w:bookmarkEnd w:id="622"/>
    </w:p>
    <w:bookmarkEnd w:id="623"/>
    <w:bookmarkEnd w:id="624"/>
    <w:p>
      <w:pPr>
        <w:numPr>
          <w:ilvl w:val="0"/>
          <w:numId w:val="0"/>
        </w:numPr>
        <w:bidi w:val="0"/>
        <w:spacing w:line="240" w:lineRule="auto"/>
        <w:ind w:lef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氨的危险特性及安全资料</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4070"/>
        <w:gridCol w:w="21"/>
        <w:gridCol w:w="397"/>
        <w:gridCol w:w="1756"/>
        <w:gridCol w:w="27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restart"/>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标识</w:t>
            </w:r>
          </w:p>
        </w:tc>
        <w:tc>
          <w:tcPr>
            <w:tcW w:w="4070"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中文名：氨；氨气(液氨)</w:t>
            </w:r>
          </w:p>
        </w:tc>
        <w:tc>
          <w:tcPr>
            <w:tcW w:w="4904" w:type="dxa"/>
            <w:gridSpan w:val="4"/>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英文名：ammonia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070"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分子式：NH</w:t>
            </w:r>
            <w:r>
              <w:rPr>
                <w:rFonts w:hint="eastAsia" w:ascii="宋体" w:hAnsi="宋体" w:eastAsia="宋体" w:cs="宋体"/>
                <w:color w:val="auto"/>
                <w:sz w:val="21"/>
                <w:szCs w:val="21"/>
                <w:vertAlign w:val="subscript"/>
              </w:rPr>
              <w:t>3</w:t>
            </w:r>
          </w:p>
        </w:tc>
        <w:tc>
          <w:tcPr>
            <w:tcW w:w="2174"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分子量：17.03</w:t>
            </w:r>
          </w:p>
        </w:tc>
        <w:tc>
          <w:tcPr>
            <w:tcW w:w="2730"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UN编号：1005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070"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危规号：23003</w:t>
            </w:r>
          </w:p>
        </w:tc>
        <w:tc>
          <w:tcPr>
            <w:tcW w:w="2174"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RTECS号：BO0875000</w:t>
            </w:r>
          </w:p>
        </w:tc>
        <w:tc>
          <w:tcPr>
            <w:tcW w:w="2730"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CAS编号：7664-41-7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restart"/>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理化性质</w:t>
            </w:r>
          </w:p>
        </w:tc>
        <w:tc>
          <w:tcPr>
            <w:tcW w:w="6244" w:type="dxa"/>
            <w:gridSpan w:val="4"/>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外观与性状：无色有刺激性恶臭的气体。</w:t>
            </w:r>
          </w:p>
        </w:tc>
        <w:tc>
          <w:tcPr>
            <w:tcW w:w="2730"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爆炸性气体分组：ⅡAT1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091"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熔点(℃)：-77.7</w:t>
            </w:r>
          </w:p>
        </w:tc>
        <w:tc>
          <w:tcPr>
            <w:tcW w:w="4883"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相对密度（水=1）：0.82(-79℃)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091"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沸点(℃)：-33.5</w:t>
            </w:r>
          </w:p>
        </w:tc>
        <w:tc>
          <w:tcPr>
            <w:tcW w:w="4883"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相对密度（空气=1）：0.6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091"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饱和蒸气压(kPa)：506.62(4.7℃)</w:t>
            </w:r>
          </w:p>
        </w:tc>
        <w:tc>
          <w:tcPr>
            <w:tcW w:w="4883"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燃烧热(kJ/mol)：无资料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091"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临界温度(℃)：132.5</w:t>
            </w:r>
          </w:p>
        </w:tc>
        <w:tc>
          <w:tcPr>
            <w:tcW w:w="4883"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辛烷/水分配系数对数值：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091"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临界压力(MPa)：11.40</w:t>
            </w:r>
          </w:p>
        </w:tc>
        <w:tc>
          <w:tcPr>
            <w:tcW w:w="4883"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折射率：无资料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091"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燃烧性：易燃</w:t>
            </w:r>
          </w:p>
        </w:tc>
        <w:tc>
          <w:tcPr>
            <w:tcW w:w="4883"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溶解性：易溶于水、乙醇、乙醚。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restart"/>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燃爆性及消防</w:t>
            </w:r>
          </w:p>
        </w:tc>
        <w:tc>
          <w:tcPr>
            <w:tcW w:w="4091"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最小点火能(mJ)：无资料</w:t>
            </w:r>
          </w:p>
        </w:tc>
        <w:tc>
          <w:tcPr>
            <w:tcW w:w="4883"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稳定性：稳定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091"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引燃温度(℃)：651</w:t>
            </w:r>
          </w:p>
        </w:tc>
        <w:tc>
          <w:tcPr>
            <w:tcW w:w="4883"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聚合危害：不聚合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091"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闪点(℃)：无意义</w:t>
            </w:r>
          </w:p>
        </w:tc>
        <w:tc>
          <w:tcPr>
            <w:tcW w:w="4883"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避免接触的条件：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091"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爆炸极限(V%)：15.7-27.4</w:t>
            </w:r>
          </w:p>
        </w:tc>
        <w:tc>
          <w:tcPr>
            <w:tcW w:w="4883"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禁忌物：卤素、酰基氯、酸类、氯仿、强氧化剂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091"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最大爆炸压力(MPa)：0.580</w:t>
            </w:r>
          </w:p>
        </w:tc>
        <w:tc>
          <w:tcPr>
            <w:tcW w:w="4883"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燃烧(分解)产物：氧化氮、氨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8974" w:type="dxa"/>
            <w:gridSpan w:val="5"/>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危险特性：与空气混合能形成爆炸性混合物。遇明火高热能引起燃烧爆炸。与氟、氯等接触会发生剧烈的化学反应。若遇高热，容器内压增大，有开裂和爆炸的危险。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8974" w:type="dxa"/>
            <w:gridSpan w:val="5"/>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灭火方法：消防人员必须穿戴全身防火防毒服。切断气源。若不能立即切断气源，则不允许熄灭正在燃烧的气体。喷水冷却容器，可能的话将容器从火场移至空旷处。</w:t>
            </w:r>
          </w:p>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灭火剂：雾状水、抗溶性泡沫、二氧化碳、砂土。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restart"/>
            <w:noWrap w:val="0"/>
            <w:vAlign w:val="center"/>
          </w:tcPr>
          <w:p>
            <w:pPr>
              <w:pStyle w:val="20"/>
              <w:pBdr>
                <w:bottom w:val="none" w:color="auto" w:sz="0" w:space="0"/>
              </w:pBdr>
              <w:tabs>
                <w:tab w:val="clear" w:pos="4153"/>
              </w:tabs>
              <w:snapToGrid/>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毒性及健康危害</w:t>
            </w:r>
          </w:p>
        </w:tc>
        <w:tc>
          <w:tcPr>
            <w:tcW w:w="8974" w:type="dxa"/>
            <w:gridSpan w:val="5"/>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接触限值：中国：PC-TWA 20 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 xml:space="preserve"> ；PC-STEL 30 mg/m</w:t>
            </w:r>
            <w:r>
              <w:rPr>
                <w:rFonts w:hint="eastAsia" w:ascii="宋体" w:hAnsi="宋体" w:eastAsia="宋体" w:cs="宋体"/>
                <w:color w:val="auto"/>
                <w:sz w:val="21"/>
                <w:szCs w:val="21"/>
                <w:vertAlign w:val="superscript"/>
              </w:rPr>
              <w:t>3</w:t>
            </w:r>
          </w:p>
          <w:p>
            <w:pPr>
              <w:tabs>
                <w:tab w:val="right" w:pos="8306"/>
              </w:tabs>
              <w:spacing w:line="240" w:lineRule="auto"/>
              <w:ind w:firstLine="1050" w:firstLineChars="500"/>
              <w:jc w:val="left"/>
              <w:rPr>
                <w:rFonts w:hint="eastAsia" w:ascii="宋体" w:hAnsi="宋体" w:eastAsia="宋体" w:cs="宋体"/>
                <w:color w:val="auto"/>
                <w:sz w:val="21"/>
                <w:szCs w:val="21"/>
              </w:rPr>
            </w:pPr>
            <w:r>
              <w:rPr>
                <w:rFonts w:hint="eastAsia" w:ascii="宋体" w:hAnsi="宋体" w:eastAsia="宋体" w:cs="宋体"/>
                <w:color w:val="auto"/>
                <w:sz w:val="21"/>
                <w:szCs w:val="21"/>
              </w:rPr>
              <w:t>美国：TVL-TWA 17 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；TLV-STEL 24 mg/m</w:t>
            </w:r>
            <w:r>
              <w:rPr>
                <w:rFonts w:hint="eastAsia" w:ascii="宋体" w:hAnsi="宋体" w:eastAsia="宋体" w:cs="宋体"/>
                <w:color w:val="auto"/>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8974" w:type="dxa"/>
            <w:gridSpan w:val="5"/>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急性毒性：LD</w:t>
            </w:r>
            <w:r>
              <w:rPr>
                <w:rFonts w:hint="eastAsia" w:ascii="宋体" w:hAnsi="宋体" w:eastAsia="宋体" w:cs="宋体"/>
                <w:color w:val="auto"/>
                <w:sz w:val="21"/>
                <w:szCs w:val="21"/>
                <w:vertAlign w:val="subscript"/>
              </w:rPr>
              <w:t>50</w:t>
            </w:r>
            <w:r>
              <w:rPr>
                <w:rFonts w:hint="eastAsia" w:ascii="宋体" w:hAnsi="宋体" w:eastAsia="宋体" w:cs="宋体"/>
                <w:color w:val="auto"/>
                <w:sz w:val="21"/>
                <w:szCs w:val="21"/>
              </w:rPr>
              <w:t xml:space="preserve"> 350mg/kg(大鼠经口)  LC</w:t>
            </w:r>
            <w:r>
              <w:rPr>
                <w:rFonts w:hint="eastAsia" w:ascii="宋体" w:hAnsi="宋体" w:eastAsia="宋体" w:cs="宋体"/>
                <w:color w:val="auto"/>
                <w:sz w:val="21"/>
                <w:szCs w:val="21"/>
                <w:vertAlign w:val="subscript"/>
              </w:rPr>
              <w:t>50</w:t>
            </w:r>
            <w:r>
              <w:rPr>
                <w:rFonts w:hint="eastAsia" w:ascii="宋体" w:hAnsi="宋体" w:eastAsia="宋体" w:cs="宋体"/>
                <w:color w:val="auto"/>
                <w:sz w:val="21"/>
                <w:szCs w:val="21"/>
              </w:rPr>
              <w:t>1390 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,4h(大鼠吸入)</w:t>
            </w:r>
          </w:p>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刺激性：家兔经眼：100 mg，重度刺激。亚急性和慢性毒性：大鼠，20 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，24h</w:t>
            </w:r>
            <w:r>
              <w:rPr>
                <w:rFonts w:hint="eastAsia" w:ascii="宋体" w:hAnsi="宋体" w:eastAsia="宋体" w:cs="宋体"/>
                <w:color w:val="auto"/>
                <w:sz w:val="21"/>
                <w:szCs w:val="21"/>
              </w:rPr>
              <w:t>/</w:t>
            </w:r>
            <w:r>
              <w:rPr>
                <w:rFonts w:hint="eastAsia" w:ascii="宋体" w:hAnsi="宋体" w:eastAsia="宋体" w:cs="宋体"/>
                <w:color w:val="auto"/>
                <w:sz w:val="21"/>
                <w:szCs w:val="21"/>
              </w:rPr>
              <w:t>天,84天，或5-6h/天，7个月，出现神经系统功能紊乱，血胆碱酯酶活性抑制等。致突变性：微生物致突变：大肠杆菌1500ppm(3h)。细胞遗传学分析：大鼠吸入19800μg/m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，16周。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488"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侵入途径：吸入</w:t>
            </w:r>
          </w:p>
        </w:tc>
        <w:tc>
          <w:tcPr>
            <w:tcW w:w="4486" w:type="dxa"/>
            <w:gridSpan w:val="2"/>
            <w:noWrap w:val="0"/>
            <w:vAlign w:val="center"/>
          </w:tcPr>
          <w:p>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Ⅳ（轻度危害）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8974" w:type="dxa"/>
            <w:gridSpan w:val="5"/>
            <w:noWrap w:val="0"/>
            <w:vAlign w:val="center"/>
          </w:tcPr>
          <w:p>
            <w:pPr>
              <w:tabs>
                <w:tab w:val="right" w:pos="8306"/>
              </w:tabs>
              <w:spacing w:line="240" w:lineRule="auto"/>
              <w:jc w:val="left"/>
              <w:rPr>
                <w:rFonts w:hint="eastAsia" w:ascii="宋体" w:hAnsi="宋体" w:eastAsia="宋体" w:cs="宋体"/>
                <w:color w:val="auto"/>
                <w:spacing w:val="-4"/>
                <w:sz w:val="21"/>
                <w:szCs w:val="21"/>
              </w:rPr>
            </w:pPr>
            <w:r>
              <w:rPr>
                <w:rFonts w:hint="eastAsia" w:ascii="宋体" w:hAnsi="宋体" w:eastAsia="宋体" w:cs="宋体"/>
                <w:color w:val="auto"/>
                <w:sz w:val="21"/>
                <w:szCs w:val="21"/>
              </w:rPr>
              <w:t>健康危害：</w:t>
            </w:r>
            <w:r>
              <w:rPr>
                <w:rFonts w:hint="eastAsia" w:ascii="宋体" w:hAnsi="宋体" w:eastAsia="宋体" w:cs="宋体"/>
                <w:color w:val="auto"/>
                <w:spacing w:val="-4"/>
                <w:sz w:val="21"/>
                <w:szCs w:val="21"/>
              </w:rPr>
              <w:t>低浓度氨对粘膜有刺激作用，高浓度可造成组织溶解坏死。</w:t>
            </w:r>
          </w:p>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pacing w:val="-4"/>
                <w:sz w:val="21"/>
                <w:szCs w:val="21"/>
              </w:rPr>
              <w:t>急性中毒：轻度者出现流泪、咽痛、声音嘶哑、咳嗽、咯痰等；眼结膜、鼻粘膜、咽部充血、水肿；胸部X射线征象符合支气管炎或支气管周围炎。中度中毒上述症状加剧，出现呼吸困难、紫绀；胸部X征象符合肺炎或间质性肺炎。严重者可发生中毒性肺水肿，或有呼吸窘迫综合症，患者剧烈咳嗽、咯大量粉红色泡沫痰、呼吸窘迫、谵妄、昏迷、休克等。可发生喉头水肿或支气管粘膜坏死脱落窒息。高浓度氨可引起反射性呼吸停止。液氨或高浓度氨可致眼灼伤；液氨可致皮肤灼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急救</w:t>
            </w:r>
          </w:p>
        </w:tc>
        <w:tc>
          <w:tcPr>
            <w:tcW w:w="8974" w:type="dxa"/>
            <w:gridSpan w:val="5"/>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皮肤接触：立即脱去被污染的衣着，用2%硼酸液或大量清水冲洗。就医。</w:t>
            </w:r>
          </w:p>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眼睛接触：立即提起眼睑，用大量流动清水或生理盐水彻底冲洗至少15分钟。就医。</w:t>
            </w:r>
          </w:p>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吸    入：迅速脱离现场至空气新鲜处。保持呼吸道通畅。如呼吸困难，给输氧。如呼吸停止，立即进行人工呼吸。就医。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防护</w:t>
            </w:r>
          </w:p>
        </w:tc>
        <w:tc>
          <w:tcPr>
            <w:tcW w:w="8974" w:type="dxa"/>
            <w:gridSpan w:val="5"/>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检测方法：纳氏试剂比色法 工程控制：严加密闭，提供充分的局部排风和全面通风。提供安全淋浴和洗眼设备。呼吸系统防护：空气中浓度超标时，建议佩戴过滤式防毒面具（半面罩）。紧急事态抢救或撤离时，必须佩戴空气呼吸器。眼睛防护：戴化学安全防护眼镜。  身体防护：穿防静电工作服。手防护：戴橡胶手套。其它：工作现场禁止吸烟、进食和饮水。工作毕，淋浴更衣。保持良好的卫生习惯。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泄漏处理</w:t>
            </w:r>
          </w:p>
        </w:tc>
        <w:tc>
          <w:tcPr>
            <w:tcW w:w="8974" w:type="dxa"/>
            <w:gridSpan w:val="5"/>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迅速撤泄漏污染区人员至上风处，并立即隔离150m，严格限制出入。切断火源。建议应急处理人员戴自给正压式呼吸器，穿防毒服。尽可能切断泄漏源。合理通风，加速扩散。高浓度泄漏区，喷含盐酸的雾状水中和、稀释、溶解。构筑围堤或挖坑收容产生的大量废水。如有可能，将残气或漏出气用排风机送至水洗塔或与塔相连的通风橱内。储罐区最好设稀酸喷洒设施。泄气容器要妥善处理，修复检验后再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26"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储运</w:t>
            </w:r>
          </w:p>
        </w:tc>
        <w:tc>
          <w:tcPr>
            <w:tcW w:w="8974" w:type="dxa"/>
            <w:gridSpan w:val="5"/>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易燃、腐蚀性压缩气体。储存于阴凉、干燥、通风良好的仓间。远离火种、热源。防止阳光直射。应与卤素(氟、氯、溴)、酸类等分开存放。罐储时要有防火、防爆技术措施。配备相应品种和数量的消防器材。禁止使用易产生火花的机械设备和工具。验收时要注意品名，注意验瓶日期，先进仓的先发用。槽车运送时要灌装适量，不可超压超量运输。搬运时要轻装轻卸，防止钢瓶及附件破损。运输按规定路线行驶，中途不得停留。</w:t>
            </w:r>
          </w:p>
        </w:tc>
      </w:tr>
    </w:tbl>
    <w:p>
      <w:pPr>
        <w:numPr>
          <w:ilvl w:val="0"/>
          <w:numId w:val="0"/>
        </w:numPr>
        <w:bidi w:val="0"/>
        <w:spacing w:line="240" w:lineRule="auto"/>
        <w:ind w:leftChars="0"/>
        <w:jc w:val="center"/>
        <w:rPr>
          <w:rFonts w:hint="eastAsia" w:ascii="宋体" w:hAnsi="宋体" w:eastAsia="宋体" w:cs="宋体"/>
          <w:color w:val="auto"/>
          <w:sz w:val="21"/>
          <w:szCs w:val="21"/>
        </w:rPr>
      </w:pPr>
      <w:bookmarkStart w:id="625" w:name="_Toc258569693"/>
      <w:r>
        <w:rPr>
          <w:rFonts w:hint="eastAsia" w:ascii="宋体" w:hAnsi="宋体" w:eastAsia="宋体" w:cs="宋体"/>
          <w:color w:val="auto"/>
          <w:sz w:val="21"/>
          <w:szCs w:val="21"/>
        </w:rPr>
        <w:t>氨溶液危险特性及安全资料</w:t>
      </w:r>
      <w:bookmarkEnd w:id="625"/>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7"/>
        <w:gridCol w:w="3675"/>
        <w:gridCol w:w="801"/>
        <w:gridCol w:w="1839"/>
        <w:gridCol w:w="26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restart"/>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标识</w:t>
            </w: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中文名：氨溶液、氨水20%</w:t>
            </w:r>
          </w:p>
        </w:tc>
        <w:tc>
          <w:tcPr>
            <w:tcW w:w="5278"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英文名</w:t>
            </w:r>
            <w:r>
              <w:rPr>
                <w:rFonts w:hint="eastAsia" w:ascii="宋体" w:hAnsi="宋体" w:eastAsia="宋体" w:cs="宋体"/>
                <w:color w:val="auto"/>
                <w:sz w:val="21"/>
                <w:szCs w:val="21"/>
                <w:lang w:val="en-GB"/>
              </w:rPr>
              <w:t>：</w:t>
            </w:r>
            <w:r>
              <w:rPr>
                <w:rFonts w:hint="eastAsia" w:ascii="宋体" w:hAnsi="宋体" w:eastAsia="宋体" w:cs="宋体"/>
                <w:color w:val="auto"/>
                <w:sz w:val="21"/>
                <w:szCs w:val="21"/>
              </w:rPr>
              <w:t>ammonium htdroxide； ammonia water</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分子式</w:t>
            </w:r>
            <w:r>
              <w:rPr>
                <w:rFonts w:hint="eastAsia" w:ascii="宋体" w:hAnsi="宋体" w:eastAsia="宋体" w:cs="宋体"/>
                <w:color w:val="auto"/>
                <w:sz w:val="21"/>
                <w:szCs w:val="21"/>
                <w:lang w:val="en-GB"/>
              </w:rPr>
              <w:t>：</w:t>
            </w:r>
            <w:r>
              <w:rPr>
                <w:rFonts w:hint="eastAsia" w:ascii="宋体" w:hAnsi="宋体" w:eastAsia="宋体" w:cs="宋体"/>
                <w:color w:val="auto"/>
                <w:sz w:val="21"/>
                <w:szCs w:val="21"/>
              </w:rPr>
              <w:t>NH</w:t>
            </w:r>
            <w:r>
              <w:rPr>
                <w:rFonts w:hint="eastAsia" w:ascii="宋体" w:hAnsi="宋体" w:eastAsia="宋体" w:cs="宋体"/>
                <w:color w:val="auto"/>
                <w:sz w:val="21"/>
                <w:szCs w:val="21"/>
                <w:vertAlign w:val="subscript"/>
              </w:rPr>
              <w:t>4</w:t>
            </w:r>
            <w:r>
              <w:rPr>
                <w:rFonts w:hint="eastAsia" w:ascii="宋体" w:hAnsi="宋体" w:eastAsia="宋体" w:cs="宋体"/>
                <w:color w:val="auto"/>
                <w:sz w:val="21"/>
                <w:szCs w:val="21"/>
              </w:rPr>
              <w:t>OH</w:t>
            </w:r>
          </w:p>
        </w:tc>
        <w:tc>
          <w:tcPr>
            <w:tcW w:w="2640"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分子量：35.05</w:t>
            </w:r>
          </w:p>
        </w:tc>
        <w:tc>
          <w:tcPr>
            <w:tcW w:w="2638"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UN编号：2672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危规号：82503</w:t>
            </w:r>
          </w:p>
        </w:tc>
        <w:tc>
          <w:tcPr>
            <w:tcW w:w="2640"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RTECS号：BQ9625000</w:t>
            </w:r>
          </w:p>
        </w:tc>
        <w:tc>
          <w:tcPr>
            <w:tcW w:w="2638"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CAS编号：1336-21-6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restart"/>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理化性质</w:t>
            </w:r>
          </w:p>
        </w:tc>
        <w:tc>
          <w:tcPr>
            <w:tcW w:w="8953" w:type="dxa"/>
            <w:gridSpan w:val="4"/>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性状：无色透明液体。有强烈的刺激性臭味。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熔点(℃)：无资料</w:t>
            </w:r>
          </w:p>
        </w:tc>
        <w:tc>
          <w:tcPr>
            <w:tcW w:w="5278"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相对密度（水=1）：0.91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沸点(℃)：无资料</w:t>
            </w:r>
          </w:p>
        </w:tc>
        <w:tc>
          <w:tcPr>
            <w:tcW w:w="5278"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相对密度（空气=1）：无资料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饱和蒸气压(kPa)：1.59(20℃)</w:t>
            </w:r>
          </w:p>
        </w:tc>
        <w:tc>
          <w:tcPr>
            <w:tcW w:w="5278"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辛醇/水分配系数的对数值：25%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临界温度(℃)：</w:t>
            </w:r>
          </w:p>
        </w:tc>
        <w:tc>
          <w:tcPr>
            <w:tcW w:w="5278"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燃烧热(kJ/mol)：无资料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临界压力(MPa)：</w:t>
            </w:r>
          </w:p>
        </w:tc>
        <w:tc>
          <w:tcPr>
            <w:tcW w:w="5278"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折射率：无资料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最小点火能(mJ)：无资料</w:t>
            </w:r>
          </w:p>
        </w:tc>
        <w:tc>
          <w:tcPr>
            <w:tcW w:w="5278"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溶解性：溶于水、醇。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restart"/>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燃烧爆炸性</w:t>
            </w: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燃烧性：不燃</w:t>
            </w:r>
          </w:p>
        </w:tc>
        <w:tc>
          <w:tcPr>
            <w:tcW w:w="5278"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稳定性：稳定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引燃温度(℃)：无资料</w:t>
            </w:r>
          </w:p>
        </w:tc>
        <w:tc>
          <w:tcPr>
            <w:tcW w:w="5278"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聚合危害：不聚合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闪点(℃)：</w:t>
            </w:r>
          </w:p>
        </w:tc>
        <w:tc>
          <w:tcPr>
            <w:tcW w:w="5278"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避免接触的条件：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爆炸极限(V%)：无资料</w:t>
            </w:r>
          </w:p>
        </w:tc>
        <w:tc>
          <w:tcPr>
            <w:tcW w:w="5278"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禁忌物：酸类、铝、铜。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3675"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最大爆炸压力(MPa)：无资料</w:t>
            </w:r>
          </w:p>
        </w:tc>
        <w:tc>
          <w:tcPr>
            <w:tcW w:w="5278" w:type="dxa"/>
            <w:gridSpan w:val="3"/>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燃烧(分解)产物：氨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8953" w:type="dxa"/>
            <w:gridSpan w:val="4"/>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危险特性：易分解放出氨气，温度越高，分解速度越快，可形成爆炸性气氛。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8953" w:type="dxa"/>
            <w:gridSpan w:val="4"/>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灭火方法：灭火剂：水、雾状水、砂土。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restart"/>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毒性及健康危害</w:t>
            </w:r>
          </w:p>
        </w:tc>
        <w:tc>
          <w:tcPr>
            <w:tcW w:w="8953" w:type="dxa"/>
            <w:gridSpan w:val="4"/>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接触限值：中国：[参考液氨]</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rPr>
              <w:t>PC-TWA 20 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 xml:space="preserve">   PC-STEL  30 mg/m</w:t>
            </w:r>
            <w:r>
              <w:rPr>
                <w:rFonts w:hint="eastAsia" w:ascii="宋体" w:hAnsi="宋体" w:eastAsia="宋体" w:cs="宋体"/>
                <w:color w:val="auto"/>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8953" w:type="dxa"/>
            <w:gridSpan w:val="4"/>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急性毒性</w:t>
            </w:r>
            <w:r>
              <w:rPr>
                <w:rFonts w:hint="eastAsia" w:ascii="宋体" w:hAnsi="宋体" w:eastAsia="宋体" w:cs="宋体"/>
                <w:color w:val="auto"/>
                <w:sz w:val="21"/>
                <w:szCs w:val="21"/>
                <w:lang w:val="en-GB"/>
              </w:rPr>
              <w:t>：</w:t>
            </w:r>
            <w:r>
              <w:rPr>
                <w:rFonts w:hint="eastAsia" w:ascii="宋体" w:hAnsi="宋体" w:eastAsia="宋体" w:cs="宋体"/>
                <w:color w:val="auto"/>
                <w:sz w:val="21"/>
                <w:szCs w:val="21"/>
              </w:rPr>
              <w:t>LD</w:t>
            </w:r>
            <w:r>
              <w:rPr>
                <w:rFonts w:hint="eastAsia" w:ascii="宋体" w:hAnsi="宋体" w:eastAsia="宋体" w:cs="宋体"/>
                <w:color w:val="auto"/>
                <w:sz w:val="21"/>
                <w:szCs w:val="21"/>
                <w:vertAlign w:val="subscript"/>
              </w:rPr>
              <w:t>50</w:t>
            </w:r>
            <w:r>
              <w:rPr>
                <w:rFonts w:hint="eastAsia" w:ascii="宋体" w:hAnsi="宋体" w:eastAsia="宋体" w:cs="宋体"/>
                <w:color w:val="auto"/>
                <w:sz w:val="21"/>
                <w:szCs w:val="21"/>
              </w:rPr>
              <w:t xml:space="preserve"> 无资料</w:t>
            </w:r>
          </w:p>
          <w:p>
            <w:pPr>
              <w:tabs>
                <w:tab w:val="right" w:pos="8306"/>
              </w:tabs>
              <w:spacing w:line="240" w:lineRule="auto"/>
              <w:ind w:firstLine="1050" w:firstLineChars="500"/>
              <w:jc w:val="left"/>
              <w:rPr>
                <w:rFonts w:hint="eastAsia" w:ascii="宋体" w:hAnsi="宋体" w:eastAsia="宋体" w:cs="宋体"/>
                <w:color w:val="auto"/>
                <w:sz w:val="21"/>
                <w:szCs w:val="21"/>
              </w:rPr>
            </w:pPr>
            <w:r>
              <w:rPr>
                <w:rFonts w:hint="eastAsia" w:ascii="宋体" w:hAnsi="宋体" w:eastAsia="宋体" w:cs="宋体"/>
                <w:color w:val="auto"/>
                <w:sz w:val="21"/>
                <w:szCs w:val="21"/>
              </w:rPr>
              <w:t>LC</w:t>
            </w:r>
            <w:r>
              <w:rPr>
                <w:rFonts w:hint="eastAsia" w:ascii="宋体" w:hAnsi="宋体" w:eastAsia="宋体" w:cs="宋体"/>
                <w:color w:val="auto"/>
                <w:sz w:val="21"/>
                <w:szCs w:val="21"/>
                <w:vertAlign w:val="subscript"/>
              </w:rPr>
              <w:t>50</w:t>
            </w:r>
            <w:r>
              <w:rPr>
                <w:rFonts w:hint="eastAsia" w:ascii="宋体" w:hAnsi="宋体" w:eastAsia="宋体" w:cs="宋体"/>
                <w:color w:val="auto"/>
                <w:sz w:val="21"/>
                <w:szCs w:val="21"/>
              </w:rPr>
              <w:t xml:space="preserve"> 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4476"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侵入途径：吸入、食入</w:t>
            </w:r>
          </w:p>
        </w:tc>
        <w:tc>
          <w:tcPr>
            <w:tcW w:w="4477" w:type="dxa"/>
            <w:gridSpan w:val="2"/>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Ⅳ</w:t>
            </w:r>
            <w:r>
              <w:rPr>
                <w:rFonts w:hint="eastAsia" w:ascii="宋体" w:hAnsi="宋体" w:eastAsia="宋体" w:cs="宋体"/>
                <w:color w:val="auto"/>
                <w:sz w:val="21"/>
                <w:szCs w:val="21"/>
              </w:rPr>
              <w:t>级(轻度危害)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vMerge w:val="continue"/>
            <w:noWrap w:val="0"/>
            <w:vAlign w:val="center"/>
          </w:tcPr>
          <w:p>
            <w:pPr>
              <w:tabs>
                <w:tab w:val="right" w:pos="8306"/>
              </w:tabs>
              <w:spacing w:line="240" w:lineRule="auto"/>
              <w:jc w:val="left"/>
              <w:rPr>
                <w:rFonts w:hint="eastAsia" w:ascii="宋体" w:hAnsi="宋体" w:eastAsia="宋体" w:cs="宋体"/>
                <w:color w:val="auto"/>
                <w:sz w:val="21"/>
                <w:szCs w:val="21"/>
              </w:rPr>
            </w:pPr>
          </w:p>
        </w:tc>
        <w:tc>
          <w:tcPr>
            <w:tcW w:w="8953" w:type="dxa"/>
            <w:gridSpan w:val="4"/>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健康危害：吸入后对鼻、喉和肺有刺激性，引起咳嗽、气短和哮喘等；重者发生喉头水肿、肺水肿及心、肝、肾损害。皮肤接触可致灼伤。口服灼伤消化道。慢性影响：反复低浓度接触，可引起支气管炎；可致皮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急救</w:t>
            </w:r>
          </w:p>
        </w:tc>
        <w:tc>
          <w:tcPr>
            <w:tcW w:w="8953" w:type="dxa"/>
            <w:gridSpan w:val="4"/>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皮肤接触：立即脱去被污染的衣着，用流动大量流动清水冲洗，至少15分钟。就医。</w:t>
            </w:r>
          </w:p>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眼睛接触：立即提起眼睑，用大量流动清水或生理盐水彻底清洗15分钟。就医。</w:t>
            </w:r>
          </w:p>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吸入：迅速脱离现场至空气新鲜处保持呼吸道通畅，如呼吸困难，给输氧。如呼吸停止，立即进行人工呼吸。就医。</w:t>
            </w:r>
          </w:p>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食入：误服者用水漱口，给饮牛奶或蛋清。就医。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防护</w:t>
            </w:r>
          </w:p>
        </w:tc>
        <w:tc>
          <w:tcPr>
            <w:tcW w:w="8953" w:type="dxa"/>
            <w:gridSpan w:val="4"/>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检测方法：纳氏试剂比色法。工程控制：严加密闭，提供充分的局部排风和全面通风。提供安全淋浴和洗眼设备。</w:t>
            </w:r>
          </w:p>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呼吸系统防护：可能接触其蒸气时，应该佩戴导管式防素养同具或直接式防毒面具（半面罩）。眼睛防护：戴化学安全防护眼镜。</w:t>
            </w:r>
          </w:p>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身体防护：穿酸碱工作服。</w:t>
            </w:r>
          </w:p>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手防护：橡胶气势手套。</w:t>
            </w:r>
          </w:p>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其他：工作现场严禁吸烟、进食和饮水。工作毕，淋浴更衣。保持良好的卫生习惯。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泄漏处理</w:t>
            </w:r>
          </w:p>
        </w:tc>
        <w:tc>
          <w:tcPr>
            <w:tcW w:w="8953" w:type="dxa"/>
            <w:gridSpan w:val="4"/>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迅速撤离泄漏污染区人员至安全区，并进行隔离，严格限制出入。建议应急处理人员戴自给正压式呼吸器，穿酸碱工作服。不要直接接触泄漏物。尽可能切断泄漏源。防止进入下水道、排洪沟等限制性空间。小量泄漏：用砂土蛭石或其他惰性材料吸收。也可用大量水冲洗，洗水稀释后放入废水系统。大量泄漏：构筑围堤或挖坑收容。用泵转移至槽车或专用收集器内，回收或运至废物处理场所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7" w:type="dxa"/>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储运</w:t>
            </w:r>
          </w:p>
        </w:tc>
        <w:tc>
          <w:tcPr>
            <w:tcW w:w="8953" w:type="dxa"/>
            <w:gridSpan w:val="4"/>
            <w:noWrap w:val="0"/>
            <w:vAlign w:val="center"/>
          </w:tcPr>
          <w:p>
            <w:pPr>
              <w:tabs>
                <w:tab w:val="right" w:pos="8306"/>
              </w:tabs>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储存于阴凉、干燥、通风良好的仓间。远离火种、热源，防止阳光直射。保持容器密封。应与酸类、金属粉末等分开存放。露天贮罐夏季要有降湿措施。分状和搬运作业要注意个人防护。托运时要轻装轻卸，防止包装及容跑龙套损坏。运输按规定路线行驶，勿在居民区和人口稠密区停留。</w:t>
            </w:r>
          </w:p>
        </w:tc>
      </w:tr>
    </w:tbl>
    <w:p>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16"/>
        <w:adjustRightInd/>
        <w:snapToGrid/>
        <w:spacing w:line="600" w:lineRule="exact"/>
        <w:ind w:firstLine="0" w:firstLineChars="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anchor distT="0" distB="0" distL="114300" distR="114300" simplePos="0" relativeHeight="251663360" behindDoc="0" locked="0" layoutInCell="1" allowOverlap="1">
            <wp:simplePos x="0" y="0"/>
            <wp:positionH relativeFrom="column">
              <wp:posOffset>133350</wp:posOffset>
            </wp:positionH>
            <wp:positionV relativeFrom="paragraph">
              <wp:posOffset>605155</wp:posOffset>
            </wp:positionV>
            <wp:extent cx="5752465" cy="4316095"/>
            <wp:effectExtent l="0" t="0" r="635" b="8255"/>
            <wp:wrapTopAndBottom/>
            <wp:docPr id="10" name="图片 10" descr="d7363502b20a6c00b339d8e7d92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7363502b20a6c00b339d8e7d926792"/>
                    <pic:cNvPicPr>
                      <a:picLocks noChangeAspect="1"/>
                    </pic:cNvPicPr>
                  </pic:nvPicPr>
                  <pic:blipFill>
                    <a:blip r:embed="rId19"/>
                    <a:stretch>
                      <a:fillRect/>
                    </a:stretch>
                  </pic:blipFill>
                  <pic:spPr>
                    <a:xfrm>
                      <a:off x="0" y="0"/>
                      <a:ext cx="5752465" cy="4316095"/>
                    </a:xfrm>
                    <a:prstGeom prst="rect">
                      <a:avLst/>
                    </a:prstGeom>
                  </pic:spPr>
                </pic:pic>
              </a:graphicData>
            </a:graphic>
          </wp:anchor>
        </w:drawing>
      </w:r>
      <w:r>
        <w:rPr>
          <w:rFonts w:hint="eastAsia" w:ascii="宋体" w:hAnsi="宋体" w:eastAsia="宋体" w:cs="宋体"/>
          <w:color w:val="auto"/>
          <w:sz w:val="28"/>
          <w:szCs w:val="28"/>
          <w:lang w:eastAsia="zh-CN"/>
        </w:rPr>
        <w:t>现场照片：</w:t>
      </w:r>
    </w:p>
    <w:sectPr>
      <w:pgSz w:w="11906" w:h="16838"/>
      <w:pgMar w:top="1417" w:right="1417" w:bottom="1417" w:left="1417"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方正姚体">
    <w:altName w:val="宋体"/>
    <w:panose1 w:val="02010601030101010101"/>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single" w:color="auto" w:sz="4" w:space="1"/>
      </w:pBdr>
    </w:pPr>
    <w:r>
      <w:rPr>
        <w:rFonts w:hAnsi="宋体"/>
      </w:rPr>
      <w:t>江西赣安安全生产科学技术咨询服务中心</w:t>
    </w:r>
    <w:r>
      <w:t xml:space="preserve">         </w:t>
    </w:r>
    <w:r>
      <w:rPr>
        <w:rFonts w:hint="eastAsia"/>
      </w:rPr>
      <w:t xml:space="preserve"> </w:t>
    </w:r>
    <w:r>
      <w:t xml:space="preserve">     </w:t>
    </w:r>
    <w:r>
      <w:rPr>
        <w:szCs w:val="18"/>
      </w:rPr>
      <w:fldChar w:fldCharType="begin"/>
    </w:r>
    <w:r>
      <w:rPr>
        <w:rStyle w:val="31"/>
        <w:szCs w:val="18"/>
      </w:rPr>
      <w:instrText xml:space="preserve"> PAGE </w:instrText>
    </w:r>
    <w:r>
      <w:rPr>
        <w:szCs w:val="18"/>
      </w:rPr>
      <w:fldChar w:fldCharType="separate"/>
    </w:r>
    <w:r>
      <w:rPr>
        <w:rStyle w:val="31"/>
        <w:szCs w:val="18"/>
      </w:rPr>
      <w:t>V</w:t>
    </w:r>
    <w:r>
      <w:rPr>
        <w:szCs w:val="18"/>
      </w:rPr>
      <w:fldChar w:fldCharType="end"/>
    </w:r>
    <w:r>
      <w:rPr>
        <w:rStyle w:val="31"/>
        <w:szCs w:val="18"/>
      </w:rPr>
      <w:t xml:space="preserve">       </w:t>
    </w:r>
    <w:r>
      <w:rPr>
        <w:rStyle w:val="31"/>
        <w:rFonts w:hint="eastAsia"/>
        <w:szCs w:val="18"/>
      </w:rPr>
      <w:t xml:space="preserve">           </w:t>
    </w:r>
    <w:r>
      <w:rPr>
        <w:rStyle w:val="31"/>
        <w:szCs w:val="18"/>
      </w:rPr>
      <w:t xml:space="preserve">                APJ-</w:t>
    </w:r>
    <w:r>
      <w:rPr>
        <w:rStyle w:val="31"/>
        <w:rFonts w:hAnsi="宋体"/>
        <w:szCs w:val="18"/>
      </w:rPr>
      <w:t>（</w:t>
    </w:r>
    <w:r>
      <w:rPr>
        <w:rStyle w:val="31"/>
        <w:rFonts w:hint="eastAsia" w:hAnsi="宋体"/>
        <w:szCs w:val="18"/>
      </w:rPr>
      <w:t>赣</w:t>
    </w:r>
    <w:r>
      <w:rPr>
        <w:rStyle w:val="31"/>
        <w:rFonts w:hAnsi="宋体"/>
        <w:szCs w:val="18"/>
      </w:rPr>
      <w:t>）</w:t>
    </w:r>
    <w:r>
      <w:rPr>
        <w:rStyle w:val="31"/>
        <w:szCs w:val="18"/>
      </w:rPr>
      <w:t>-</w:t>
    </w:r>
    <w:r>
      <w:rPr>
        <w:rStyle w:val="31"/>
        <w:rFonts w:hint="eastAsia"/>
        <w:szCs w:val="18"/>
      </w:rPr>
      <w:t>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single" w:color="auto" w:sz="4" w:space="1"/>
      </w:pBdr>
      <w:spacing w:line="280" w:lineRule="exact"/>
      <w:rPr>
        <w:rFonts w:ascii="宋体" w:hAnsi="宋体" w:cs="宋体"/>
      </w:rPr>
    </w:pPr>
    <w:r>
      <w:rPr>
        <w:rFonts w:hint="eastAsia" w:ascii="宋体" w:hAnsi="宋体" w:cs="宋体"/>
      </w:rPr>
      <w:t>江西赣昌安全生产科技服务有限公司</w:t>
    </w:r>
    <w:r>
      <w:rPr>
        <w:rFonts w:hint="eastAsia" w:ascii="宋体" w:hAnsi="宋体" w:cs="宋体"/>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53340</wp:posOffset>
              </wp:positionV>
              <wp:extent cx="323215" cy="163830"/>
              <wp:effectExtent l="0" t="0" r="0" b="0"/>
              <wp:wrapNone/>
              <wp:docPr id="7" name="文本框 1026"/>
              <wp:cNvGraphicFramePr/>
              <a:graphic xmlns:a="http://schemas.openxmlformats.org/drawingml/2006/main">
                <a:graphicData uri="http://schemas.microsoft.com/office/word/2010/wordprocessingShape">
                  <wps:wsp>
                    <wps:cNvSpPr txBox="1"/>
                    <wps:spPr>
                      <a:xfrm>
                        <a:off x="0" y="0"/>
                        <a:ext cx="323215" cy="163830"/>
                      </a:xfrm>
                      <a:prstGeom prst="rect">
                        <a:avLst/>
                      </a:prstGeom>
                      <a:noFill/>
                      <a:ln w="15875">
                        <a:noFill/>
                      </a:ln>
                    </wps:spPr>
                    <wps:txbx>
                      <w:txbxContent>
                        <w:p>
                          <w:pPr>
                            <w:pStyle w:val="18"/>
                          </w:pPr>
                          <w:r>
                            <w:fldChar w:fldCharType="begin"/>
                          </w:r>
                          <w:r>
                            <w:instrText xml:space="preserve"> PAGE  \* MERGEFORMAT </w:instrText>
                          </w:r>
                          <w:r>
                            <w:fldChar w:fldCharType="separate"/>
                          </w:r>
                          <w:r>
                            <w:t>VIII</w:t>
                          </w:r>
                          <w:r>
                            <w:fldChar w:fldCharType="end"/>
                          </w:r>
                        </w:p>
                      </w:txbxContent>
                    </wps:txbx>
                    <wps:bodyPr vert="horz" wrap="square" lIns="0" tIns="0" rIns="0" bIns="0" anchor="t" anchorCtr="0"/>
                  </wps:wsp>
                </a:graphicData>
              </a:graphic>
            </wp:anchor>
          </w:drawing>
        </mc:Choice>
        <mc:Fallback>
          <w:pict>
            <v:shape id="文本框 1026" o:spid="_x0000_s1026" o:spt="202" type="#_x0000_t202" style="position:absolute;left:0pt;margin-top:4.2pt;height:12.9pt;width:25.45pt;mso-position-horizontal:center;mso-position-horizontal-relative:margin;z-index:251660288;mso-width-relative:page;mso-height-relative:page;" filled="f" stroked="f" coordsize="21600,21600" o:gfxdata="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YP449QAAAAEAQAADwAAAAAA&#10;AAABACAAAAAiAAAAZHJzL2Rvd25yZXYueG1sUEsBAhQAFAAAAAgAh07iQOx/fY/eAQAApQMAAA4A&#10;AAAAAAAAAQAgAAAAIwEAAGRycy9lMm9Eb2MueG1sUEsFBgAAAAAGAAYAWQEAAHMFAAAAAA==&#10;">
              <v:fill on="f" focussize="0,0"/>
              <v:stroke on="f" weight="1.25pt"/>
              <v:imagedata o:title=""/>
              <o:lock v:ext="edit" aspectratio="f"/>
              <v:textbox inset="0mm,0mm,0mm,0mm">
                <w:txbxContent>
                  <w:p>
                    <w:pPr>
                      <w:pStyle w:val="18"/>
                    </w:pPr>
                    <w:r>
                      <w:fldChar w:fldCharType="begin"/>
                    </w:r>
                    <w:r>
                      <w:instrText xml:space="preserve"> PAGE  \* MERGEFORMAT </w:instrText>
                    </w:r>
                    <w:r>
                      <w:fldChar w:fldCharType="separate"/>
                    </w:r>
                    <w:r>
                      <w:t>VIII</w:t>
                    </w:r>
                    <w:r>
                      <w:fldChar w:fldCharType="end"/>
                    </w:r>
                  </w:p>
                </w:txbxContent>
              </v:textbox>
            </v:shape>
          </w:pict>
        </mc:Fallback>
      </mc:AlternateConten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APJ-(赣）-006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single" w:color="auto" w:sz="4" w:space="1"/>
      </w:pBdr>
      <w:spacing w:line="280" w:lineRule="exact"/>
      <w:rPr>
        <w:rFonts w:ascii="宋体" w:hAnsi="宋体" w:cs="宋体"/>
      </w:rPr>
    </w:pPr>
    <w:r>
      <w:rPr>
        <w:rFonts w:hint="eastAsia" w:ascii="宋体" w:hAnsi="宋体" w:cs="宋体"/>
      </w:rPr>
      <w:t>江西赣昌安全生产科技服务有限公司</w:t>
    </w:r>
    <w:r>
      <w:rPr>
        <w:rFonts w:hint="eastAsia" w:ascii="宋体" w:hAnsi="宋体" w:cs="宋体"/>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53340</wp:posOffset>
              </wp:positionV>
              <wp:extent cx="323215" cy="163830"/>
              <wp:effectExtent l="0" t="0" r="0" b="0"/>
              <wp:wrapNone/>
              <wp:docPr id="12" name="文本框 1026"/>
              <wp:cNvGraphicFramePr/>
              <a:graphic xmlns:a="http://schemas.openxmlformats.org/drawingml/2006/main">
                <a:graphicData uri="http://schemas.microsoft.com/office/word/2010/wordprocessingShape">
                  <wps:wsp>
                    <wps:cNvSpPr txBox="1"/>
                    <wps:spPr>
                      <a:xfrm>
                        <a:off x="0" y="0"/>
                        <a:ext cx="323215" cy="163830"/>
                      </a:xfrm>
                      <a:prstGeom prst="rect">
                        <a:avLst/>
                      </a:prstGeom>
                      <a:noFill/>
                      <a:ln w="15875">
                        <a:noFill/>
                      </a:ln>
                    </wps:spPr>
                    <wps:txbx>
                      <w:txbxContent>
                        <w:p>
                          <w:pPr>
                            <w:pStyle w:val="18"/>
                          </w:pPr>
                          <w:r>
                            <w:fldChar w:fldCharType="begin"/>
                          </w:r>
                          <w:r>
                            <w:instrText xml:space="preserve"> PAGE  \* MERGEFORMAT </w:instrText>
                          </w:r>
                          <w:r>
                            <w:fldChar w:fldCharType="separate"/>
                          </w:r>
                          <w:r>
                            <w:t>VIII</w:t>
                          </w:r>
                          <w:r>
                            <w:fldChar w:fldCharType="end"/>
                          </w:r>
                        </w:p>
                      </w:txbxContent>
                    </wps:txbx>
                    <wps:bodyPr vert="horz" wrap="square" lIns="0" tIns="0" rIns="0" bIns="0" anchor="t" anchorCtr="0"/>
                  </wps:wsp>
                </a:graphicData>
              </a:graphic>
            </wp:anchor>
          </w:drawing>
        </mc:Choice>
        <mc:Fallback>
          <w:pict>
            <v:shape id="文本框 1026" o:spid="_x0000_s1026" o:spt="202" type="#_x0000_t202" style="position:absolute;left:0pt;margin-top:4.2pt;height:12.9pt;width:25.45pt;mso-position-horizontal:center;mso-position-horizontal-relative:margin;z-index:251662336;mso-width-relative:page;mso-height-relative:page;" filled="f" stroked="f" coordsize="21600,21600" o:gfxdata="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YP449QAAAAEAQAADwAAAAAA&#10;AAABACAAAAAiAAAAZHJzL2Rvd25yZXYueG1sUEsBAhQAFAAAAAgAh07iQPiejWDeAQAApgMAAA4A&#10;AAAAAAAAAQAgAAAAIwEAAGRycy9lMm9Eb2MueG1sUEsFBgAAAAAGAAYAWQEAAHMFAAAAAA==&#10;">
              <v:fill on="f" focussize="0,0"/>
              <v:stroke on="f" weight="1.25pt"/>
              <v:imagedata o:title=""/>
              <o:lock v:ext="edit" aspectratio="f"/>
              <v:textbox inset="0mm,0mm,0mm,0mm">
                <w:txbxContent>
                  <w:p>
                    <w:pPr>
                      <w:pStyle w:val="18"/>
                    </w:pPr>
                    <w:r>
                      <w:fldChar w:fldCharType="begin"/>
                    </w:r>
                    <w:r>
                      <w:instrText xml:space="preserve"> PAGE  \* MERGEFORMAT </w:instrText>
                    </w:r>
                    <w:r>
                      <w:fldChar w:fldCharType="separate"/>
                    </w:r>
                    <w:r>
                      <w:t>VIII</w:t>
                    </w:r>
                    <w:r>
                      <w:fldChar w:fldCharType="end"/>
                    </w:r>
                  </w:p>
                </w:txbxContent>
              </v:textbox>
            </v:shape>
          </w:pict>
        </mc:Fallback>
      </mc:AlternateConten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APJ-(赣）-006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single" w:color="auto" w:sz="4" w:space="1"/>
      </w:pBdr>
      <w:spacing w:line="280" w:lineRule="exact"/>
      <w:rPr>
        <w:rFonts w:ascii="宋体" w:hAnsi="宋体" w:cs="宋体"/>
      </w:rPr>
    </w:pPr>
    <w:r>
      <w:rPr>
        <w:rFonts w:hint="eastAsia" w:ascii="宋体" w:hAnsi="宋体" w:cs="宋体"/>
      </w:rPr>
      <w:t>江西赣昌安全生产科技服务有限公司</w:t>
    </w:r>
    <w:r>
      <w:rPr>
        <w:rFonts w:hint="eastAsia" w:ascii="宋体" w:hAnsi="宋体" w:cs="宋体"/>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53340</wp:posOffset>
              </wp:positionV>
              <wp:extent cx="323215" cy="163830"/>
              <wp:effectExtent l="0" t="0" r="0" b="0"/>
              <wp:wrapNone/>
              <wp:docPr id="14" name="文本框 1026"/>
              <wp:cNvGraphicFramePr/>
              <a:graphic xmlns:a="http://schemas.openxmlformats.org/drawingml/2006/main">
                <a:graphicData uri="http://schemas.microsoft.com/office/word/2010/wordprocessingShape">
                  <wps:wsp>
                    <wps:cNvSpPr txBox="1"/>
                    <wps:spPr>
                      <a:xfrm>
                        <a:off x="0" y="0"/>
                        <a:ext cx="323215" cy="163830"/>
                      </a:xfrm>
                      <a:prstGeom prst="rect">
                        <a:avLst/>
                      </a:prstGeom>
                      <a:noFill/>
                      <a:ln w="15875">
                        <a:noFill/>
                      </a:ln>
                    </wps:spPr>
                    <wps:txbx>
                      <w:txbxContent>
                        <w:p>
                          <w:pPr>
                            <w:pStyle w:val="18"/>
                          </w:pPr>
                          <w:r>
                            <w:fldChar w:fldCharType="begin"/>
                          </w:r>
                          <w:r>
                            <w:instrText xml:space="preserve"> PAGE  \* MERGEFORMAT </w:instrText>
                          </w:r>
                          <w:r>
                            <w:fldChar w:fldCharType="separate"/>
                          </w:r>
                          <w:r>
                            <w:t>VIII</w:t>
                          </w:r>
                          <w:r>
                            <w:fldChar w:fldCharType="end"/>
                          </w:r>
                        </w:p>
                      </w:txbxContent>
                    </wps:txbx>
                    <wps:bodyPr vert="horz" wrap="square" lIns="0" tIns="0" rIns="0" bIns="0" anchor="t" anchorCtr="0"/>
                  </wps:wsp>
                </a:graphicData>
              </a:graphic>
            </wp:anchor>
          </w:drawing>
        </mc:Choice>
        <mc:Fallback>
          <w:pict>
            <v:shape id="文本框 1026" o:spid="_x0000_s1026" o:spt="202" type="#_x0000_t202" style="position:absolute;left:0pt;margin-top:4.2pt;height:12.9pt;width:25.45pt;mso-position-horizontal:center;mso-position-horizontal-relative:margin;z-index:251664384;mso-width-relative:page;mso-height-relative:page;" filled="f" stroked="f" coordsize="21600,21600" o:gfxdata="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WD+OPUAAAABAEAAA8AAAAA&#10;AAAAAQAgAAAAIgAAAGRycy9kb3ducmV2LnhtbFBLAQIUABQAAAAIAIdO4kAc4DCJ3wEAAKYDAAAO&#10;AAAAAAAAAAEAIAAAACMBAABkcnMvZTJvRG9jLnhtbFBLBQYAAAAABgAGAFkBAAB0BQAAAAA=&#10;">
              <v:fill on="f" focussize="0,0"/>
              <v:stroke on="f" weight="1.25pt"/>
              <v:imagedata o:title=""/>
              <o:lock v:ext="edit" aspectratio="f"/>
              <v:textbox inset="0mm,0mm,0mm,0mm">
                <w:txbxContent>
                  <w:p>
                    <w:pPr>
                      <w:pStyle w:val="18"/>
                    </w:pPr>
                    <w:r>
                      <w:fldChar w:fldCharType="begin"/>
                    </w:r>
                    <w:r>
                      <w:instrText xml:space="preserve"> PAGE  \* MERGEFORMAT </w:instrText>
                    </w:r>
                    <w:r>
                      <w:fldChar w:fldCharType="separate"/>
                    </w:r>
                    <w:r>
                      <w:t>VIII</w:t>
                    </w:r>
                    <w:r>
                      <w:fldChar w:fldCharType="end"/>
                    </w:r>
                  </w:p>
                </w:txbxContent>
              </v:textbox>
            </v:shape>
          </w:pict>
        </mc:Fallback>
      </mc:AlternateConten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APJ-(赣）-006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left="7830" w:hanging="7830" w:hangingChars="4350"/>
      <w:rPr>
        <w:color w:val="000000"/>
        <w:sz w:val="18"/>
        <w:szCs w:val="18"/>
      </w:rPr>
    </w:pPr>
    <w:r>
      <w:rPr>
        <w:rFonts w:hint="eastAsia" w:hAnsi="宋体"/>
        <w:color w:val="000000"/>
        <w:sz w:val="18"/>
        <w:szCs w:val="18"/>
      </w:rPr>
      <w:t xml:space="preserve">南昌市燃气集团有限公司洪北CNG油气合建站（加气站部分）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320" w:lineRule="exact"/>
      <w:textAlignment w:val="auto"/>
      <w:rPr>
        <w:color w:val="000000"/>
        <w:sz w:val="18"/>
        <w:szCs w:val="18"/>
      </w:rPr>
    </w:pPr>
    <w:r>
      <w:rPr>
        <w:rFonts w:hint="eastAsia" w:ascii="宋体" w:hAnsi="宋体" w:cs="宋体"/>
        <w:sz w:val="18"/>
        <w:szCs w:val="18"/>
        <w:lang w:val="zh-CN"/>
      </w:rPr>
      <w:t>江西兆驰半导体有限公司（氨水回收装置）安全</w:t>
    </w:r>
    <w:r>
      <w:rPr>
        <w:rFonts w:hint="eastAsia" w:ascii="宋体" w:hAnsi="宋体" w:cs="宋体"/>
        <w:sz w:val="18"/>
        <w:szCs w:val="18"/>
      </w:rPr>
      <w:t>现状</w:t>
    </w:r>
    <w:r>
      <w:rPr>
        <w:rFonts w:hint="eastAsia" w:ascii="宋体" w:hAnsi="宋体" w:cs="宋体"/>
        <w:sz w:val="18"/>
        <w:szCs w:val="18"/>
        <w:lang w:val="zh-CN"/>
      </w:rPr>
      <w:t>评价报告</w:t>
    </w:r>
    <w:r>
      <w:rPr>
        <w:rFonts w:hint="eastAsia" w:ascii="宋体" w:hAnsi="宋体" w:cs="宋体"/>
        <w:sz w:val="18"/>
        <w:szCs w:val="18"/>
      </w:rPr>
      <w:t xml:space="preserve">           </w:t>
    </w:r>
    <w:r>
      <w:rPr>
        <w:rFonts w:hint="eastAsia" w:ascii="宋体" w:hAnsi="宋体" w:cs="宋体"/>
        <w:sz w:val="18"/>
        <w:szCs w:val="18"/>
        <w:lang w:val="en-US" w:eastAsia="zh-CN"/>
      </w:rPr>
      <w:t xml:space="preserve"> </w:t>
    </w:r>
    <w:r>
      <w:rPr>
        <w:rFonts w:hint="eastAsia" w:ascii="宋体" w:hAnsi="宋体" w:cs="宋体"/>
        <w:sz w:val="18"/>
        <w:szCs w:val="18"/>
      </w:rPr>
      <w:t xml:space="preserve">      </w:t>
    </w:r>
    <w:r>
      <w:rPr>
        <w:rFonts w:hint="eastAsia" w:ascii="宋体" w:hAnsi="宋体" w:cs="宋体"/>
        <w:sz w:val="18"/>
        <w:szCs w:val="18"/>
        <w:lang w:val="en-US" w:eastAsia="zh-CN"/>
      </w:rPr>
      <w:t xml:space="preserve">       </w:t>
    </w:r>
    <w:r>
      <w:rPr>
        <w:rFonts w:hint="eastAsia" w:ascii="宋体" w:hAnsi="宋体" w:cs="宋体"/>
        <w:sz w:val="18"/>
        <w:szCs w:val="18"/>
      </w:rPr>
      <w:t xml:space="preserve">      GCAP[2022]066号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320" w:lineRule="exact"/>
      <w:textAlignment w:val="auto"/>
      <w:rPr>
        <w:color w:val="000000"/>
        <w:sz w:val="18"/>
        <w:szCs w:val="18"/>
      </w:rPr>
    </w:pPr>
    <w:r>
      <w:rPr>
        <w:rFonts w:hint="eastAsia" w:ascii="宋体" w:hAnsi="宋体" w:cs="宋体"/>
        <w:sz w:val="18"/>
        <w:szCs w:val="18"/>
        <w:lang w:val="zh-CN"/>
      </w:rPr>
      <w:t>江西兆驰半导体有限公司（氨水回收装置）安全</w:t>
    </w:r>
    <w:r>
      <w:rPr>
        <w:rFonts w:hint="eastAsia" w:ascii="宋体" w:hAnsi="宋体" w:cs="宋体"/>
        <w:sz w:val="18"/>
        <w:szCs w:val="18"/>
      </w:rPr>
      <w:t>现状</w:t>
    </w:r>
    <w:r>
      <w:rPr>
        <w:rFonts w:hint="eastAsia" w:ascii="宋体" w:hAnsi="宋体" w:cs="宋体"/>
        <w:sz w:val="18"/>
        <w:szCs w:val="18"/>
        <w:lang w:val="zh-CN"/>
      </w:rPr>
      <w:t>评价报告</w:t>
    </w:r>
    <w:r>
      <w:rPr>
        <w:rFonts w:hint="eastAsia" w:ascii="宋体" w:hAnsi="宋体" w:cs="宋体"/>
        <w:sz w:val="18"/>
        <w:szCs w:val="18"/>
      </w:rPr>
      <w:t xml:space="preserve">           </w:t>
    </w:r>
    <w:r>
      <w:rPr>
        <w:rFonts w:hint="eastAsia" w:ascii="宋体" w:hAnsi="宋体" w:cs="宋体"/>
        <w:sz w:val="18"/>
        <w:szCs w:val="18"/>
        <w:lang w:val="en-US" w:eastAsia="zh-CN"/>
      </w:rPr>
      <w:t xml:space="preserve"> </w:t>
    </w:r>
    <w:r>
      <w:rPr>
        <w:rFonts w:hint="eastAsia" w:ascii="宋体" w:hAnsi="宋体" w:cs="宋体"/>
        <w:sz w:val="18"/>
        <w:szCs w:val="18"/>
      </w:rPr>
      <w:t xml:space="preserve">      </w:t>
    </w:r>
    <w:r>
      <w:rPr>
        <w:rFonts w:hint="eastAsia" w:ascii="宋体" w:hAnsi="宋体" w:cs="宋体"/>
        <w:sz w:val="18"/>
        <w:szCs w:val="18"/>
        <w:lang w:val="en-US" w:eastAsia="zh-CN"/>
      </w:rPr>
      <w:t xml:space="preserve">                                                              </w:t>
    </w:r>
    <w:r>
      <w:rPr>
        <w:rFonts w:hint="eastAsia" w:ascii="宋体" w:hAnsi="宋体" w:cs="宋体"/>
        <w:sz w:val="18"/>
        <w:szCs w:val="18"/>
      </w:rPr>
      <w:t xml:space="preserve">      GCAP[2022]066号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320" w:lineRule="exact"/>
      <w:textAlignment w:val="auto"/>
      <w:rPr>
        <w:color w:val="000000"/>
        <w:sz w:val="18"/>
        <w:szCs w:val="18"/>
      </w:rPr>
    </w:pPr>
    <w:r>
      <w:rPr>
        <w:rFonts w:hint="eastAsia" w:ascii="宋体" w:hAnsi="宋体" w:cs="宋体"/>
        <w:sz w:val="18"/>
        <w:szCs w:val="18"/>
        <w:lang w:val="zh-CN"/>
      </w:rPr>
      <w:t>江西兆驰半导体有限公司（氨水回收装置）安全</w:t>
    </w:r>
    <w:r>
      <w:rPr>
        <w:rFonts w:hint="eastAsia" w:ascii="宋体" w:hAnsi="宋体" w:cs="宋体"/>
        <w:sz w:val="18"/>
        <w:szCs w:val="18"/>
      </w:rPr>
      <w:t>现状</w:t>
    </w:r>
    <w:r>
      <w:rPr>
        <w:rFonts w:hint="eastAsia" w:ascii="宋体" w:hAnsi="宋体" w:cs="宋体"/>
        <w:sz w:val="18"/>
        <w:szCs w:val="18"/>
        <w:lang w:val="zh-CN"/>
      </w:rPr>
      <w:t>评价报告</w:t>
    </w:r>
    <w:r>
      <w:rPr>
        <w:rFonts w:hint="eastAsia" w:ascii="宋体" w:hAnsi="宋体" w:cs="宋体"/>
        <w:sz w:val="18"/>
        <w:szCs w:val="18"/>
      </w:rPr>
      <w:t xml:space="preserve">           </w:t>
    </w:r>
    <w:r>
      <w:rPr>
        <w:rFonts w:hint="eastAsia" w:ascii="宋体" w:hAnsi="宋体" w:cs="宋体"/>
        <w:sz w:val="18"/>
        <w:szCs w:val="18"/>
        <w:lang w:val="en-US" w:eastAsia="zh-CN"/>
      </w:rPr>
      <w:t xml:space="preserve"> </w:t>
    </w:r>
    <w:r>
      <w:rPr>
        <w:rFonts w:hint="eastAsia" w:ascii="宋体" w:hAnsi="宋体" w:cs="宋体"/>
        <w:sz w:val="18"/>
        <w:szCs w:val="18"/>
      </w:rPr>
      <w:t xml:space="preserve">      </w:t>
    </w:r>
    <w:r>
      <w:rPr>
        <w:rFonts w:hint="eastAsia" w:ascii="宋体" w:hAnsi="宋体" w:cs="宋体"/>
        <w:sz w:val="18"/>
        <w:szCs w:val="18"/>
        <w:lang w:val="en-US" w:eastAsia="zh-CN"/>
      </w:rPr>
      <w:t xml:space="preserve">       </w:t>
    </w:r>
    <w:r>
      <w:rPr>
        <w:rFonts w:hint="eastAsia" w:ascii="宋体" w:hAnsi="宋体" w:cs="宋体"/>
        <w:sz w:val="18"/>
        <w:szCs w:val="18"/>
      </w:rPr>
      <w:t xml:space="preserve">      GCAP[2022]066号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ind w:left="1425" w:hanging="420"/>
      </w:pPr>
      <w:rPr>
        <w:rFonts w:ascii="Times New Roman" w:hAnsi="Times New Roman" w:eastAsia="Times New Roman" w:cs="Times New Roman"/>
        <w:color w:val="000000"/>
      </w:rPr>
    </w:lvl>
    <w:lvl w:ilvl="1" w:tentative="0">
      <w:start w:val="1"/>
      <w:numFmt w:val="lowerLetter"/>
      <w:lvlText w:val="%2)"/>
      <w:lvlJc w:val="left"/>
      <w:pPr>
        <w:ind w:left="1845" w:hanging="420"/>
      </w:pPr>
    </w:lvl>
    <w:lvl w:ilvl="2" w:tentative="0">
      <w:start w:val="1"/>
      <w:numFmt w:val="lowerRoman"/>
      <w:lvlText w:val="%3."/>
      <w:lvlJc w:val="right"/>
      <w:pPr>
        <w:ind w:left="2265" w:hanging="420"/>
      </w:pPr>
    </w:lvl>
    <w:lvl w:ilvl="3" w:tentative="0">
      <w:start w:val="1"/>
      <w:numFmt w:val="decimal"/>
      <w:lvlText w:val="%4."/>
      <w:lvlJc w:val="left"/>
      <w:pPr>
        <w:ind w:left="2685" w:hanging="420"/>
      </w:pPr>
    </w:lvl>
    <w:lvl w:ilvl="4" w:tentative="0">
      <w:start w:val="1"/>
      <w:numFmt w:val="lowerLetter"/>
      <w:lvlText w:val="%5)"/>
      <w:lvlJc w:val="left"/>
      <w:pPr>
        <w:ind w:left="3105" w:hanging="420"/>
      </w:pPr>
    </w:lvl>
    <w:lvl w:ilvl="5" w:tentative="0">
      <w:start w:val="1"/>
      <w:numFmt w:val="lowerRoman"/>
      <w:lvlText w:val="%6."/>
      <w:lvlJc w:val="right"/>
      <w:pPr>
        <w:ind w:left="3525" w:hanging="420"/>
      </w:pPr>
    </w:lvl>
    <w:lvl w:ilvl="6" w:tentative="0">
      <w:start w:val="1"/>
      <w:numFmt w:val="decimal"/>
      <w:lvlText w:val="%7."/>
      <w:lvlJc w:val="left"/>
      <w:pPr>
        <w:ind w:left="3945" w:hanging="420"/>
      </w:pPr>
    </w:lvl>
    <w:lvl w:ilvl="7" w:tentative="0">
      <w:start w:val="1"/>
      <w:numFmt w:val="lowerLetter"/>
      <w:lvlText w:val="%8)"/>
      <w:lvlJc w:val="left"/>
      <w:pPr>
        <w:ind w:left="4365" w:hanging="420"/>
      </w:pPr>
    </w:lvl>
    <w:lvl w:ilvl="8" w:tentative="0">
      <w:start w:val="1"/>
      <w:numFmt w:val="lowerRoman"/>
      <w:lvlText w:val="%9."/>
      <w:lvlJc w:val="right"/>
      <w:pPr>
        <w:ind w:left="4785" w:hanging="420"/>
      </w:pPr>
    </w:lvl>
  </w:abstractNum>
  <w:abstractNum w:abstractNumId="1">
    <w:nsid w:val="1139EE89"/>
    <w:multiLevelType w:val="singleLevel"/>
    <w:tmpl w:val="1139EE89"/>
    <w:lvl w:ilvl="0" w:tentative="0">
      <w:start w:val="3"/>
      <w:numFmt w:val="decimal"/>
      <w:suff w:val="nothing"/>
      <w:lvlText w:val="%1）"/>
      <w:lvlJc w:val="left"/>
    </w:lvl>
  </w:abstractNum>
  <w:abstractNum w:abstractNumId="2">
    <w:nsid w:val="1BE1CBD1"/>
    <w:multiLevelType w:val="singleLevel"/>
    <w:tmpl w:val="1BE1CBD1"/>
    <w:lvl w:ilvl="0" w:tentative="0">
      <w:start w:val="1"/>
      <w:numFmt w:val="decimal"/>
      <w:lvlText w:val="%1."/>
      <w:lvlJc w:val="left"/>
      <w:pPr>
        <w:ind w:left="425" w:hanging="425"/>
      </w:pPr>
      <w:rPr>
        <w:rFonts w:hint="default"/>
      </w:rPr>
    </w:lvl>
  </w:abstractNum>
  <w:abstractNum w:abstractNumId="3">
    <w:nsid w:val="5624A458"/>
    <w:multiLevelType w:val="singleLevel"/>
    <w:tmpl w:val="5624A458"/>
    <w:lvl w:ilvl="0" w:tentative="0">
      <w:start w:val="1"/>
      <w:numFmt w:val="decimal"/>
      <w:suff w:val="nothing"/>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B3527B"/>
    <w:rsid w:val="0022497A"/>
    <w:rsid w:val="006C248C"/>
    <w:rsid w:val="007D6B26"/>
    <w:rsid w:val="008A1779"/>
    <w:rsid w:val="009A06E8"/>
    <w:rsid w:val="00AD0262"/>
    <w:rsid w:val="00D032ED"/>
    <w:rsid w:val="00D634F8"/>
    <w:rsid w:val="00E43B07"/>
    <w:rsid w:val="011354E9"/>
    <w:rsid w:val="031A1A48"/>
    <w:rsid w:val="04910C4A"/>
    <w:rsid w:val="06872F1A"/>
    <w:rsid w:val="07A46AB5"/>
    <w:rsid w:val="081D65A9"/>
    <w:rsid w:val="0E107847"/>
    <w:rsid w:val="12406D25"/>
    <w:rsid w:val="1328040A"/>
    <w:rsid w:val="14D855F4"/>
    <w:rsid w:val="151D5271"/>
    <w:rsid w:val="15440CF6"/>
    <w:rsid w:val="15AA594F"/>
    <w:rsid w:val="1985256E"/>
    <w:rsid w:val="1BC31CAE"/>
    <w:rsid w:val="213276BA"/>
    <w:rsid w:val="21E10BB3"/>
    <w:rsid w:val="22B3527B"/>
    <w:rsid w:val="22E32458"/>
    <w:rsid w:val="257B2908"/>
    <w:rsid w:val="275A1718"/>
    <w:rsid w:val="27E26811"/>
    <w:rsid w:val="2AC71367"/>
    <w:rsid w:val="2BE23C98"/>
    <w:rsid w:val="30BA4FD6"/>
    <w:rsid w:val="317A172A"/>
    <w:rsid w:val="32FC1338"/>
    <w:rsid w:val="33D859B1"/>
    <w:rsid w:val="3416114E"/>
    <w:rsid w:val="353B3065"/>
    <w:rsid w:val="365810C6"/>
    <w:rsid w:val="367814CE"/>
    <w:rsid w:val="36A953C8"/>
    <w:rsid w:val="36CC017F"/>
    <w:rsid w:val="39341F7D"/>
    <w:rsid w:val="3AA51419"/>
    <w:rsid w:val="3AA528ED"/>
    <w:rsid w:val="3CBE17E1"/>
    <w:rsid w:val="3CC55A87"/>
    <w:rsid w:val="3EB63CE6"/>
    <w:rsid w:val="419D52B7"/>
    <w:rsid w:val="43F36DB1"/>
    <w:rsid w:val="446944B7"/>
    <w:rsid w:val="49D718E6"/>
    <w:rsid w:val="4BFB7438"/>
    <w:rsid w:val="4EDE4F24"/>
    <w:rsid w:val="4FDA66A3"/>
    <w:rsid w:val="510D2491"/>
    <w:rsid w:val="5122044E"/>
    <w:rsid w:val="512E150F"/>
    <w:rsid w:val="538402BF"/>
    <w:rsid w:val="55296B70"/>
    <w:rsid w:val="574E0015"/>
    <w:rsid w:val="57F205BA"/>
    <w:rsid w:val="57F57A96"/>
    <w:rsid w:val="5F432FC5"/>
    <w:rsid w:val="66F05671"/>
    <w:rsid w:val="673D4F1C"/>
    <w:rsid w:val="679D4D57"/>
    <w:rsid w:val="69B42199"/>
    <w:rsid w:val="6AC975E8"/>
    <w:rsid w:val="6B1B6095"/>
    <w:rsid w:val="6BB57C94"/>
    <w:rsid w:val="6C6770B8"/>
    <w:rsid w:val="6DF36526"/>
    <w:rsid w:val="6E1D523D"/>
    <w:rsid w:val="6E3622F9"/>
    <w:rsid w:val="6E6B7334"/>
    <w:rsid w:val="700D7F77"/>
    <w:rsid w:val="707833EC"/>
    <w:rsid w:val="72841037"/>
    <w:rsid w:val="72F35899"/>
    <w:rsid w:val="737B1B12"/>
    <w:rsid w:val="7399169B"/>
    <w:rsid w:val="74C22809"/>
    <w:rsid w:val="75844805"/>
    <w:rsid w:val="78F460BD"/>
    <w:rsid w:val="7ADD3367"/>
    <w:rsid w:val="7C7910EF"/>
    <w:rsid w:val="7CC055D3"/>
    <w:rsid w:val="7D5649A2"/>
    <w:rsid w:val="7DC4400F"/>
    <w:rsid w:val="7E7A4B80"/>
    <w:rsid w:val="7F8C5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8"/>
      <w:szCs w:val="24"/>
      <w:lang w:val="en-US" w:eastAsia="zh-CN" w:bidi="ar-SA"/>
    </w:rPr>
  </w:style>
  <w:style w:type="paragraph" w:styleId="6">
    <w:name w:val="heading 1"/>
    <w:basedOn w:val="1"/>
    <w:next w:val="1"/>
    <w:link w:val="34"/>
    <w:qFormat/>
    <w:uiPriority w:val="0"/>
    <w:pPr>
      <w:keepNext/>
      <w:keepLines/>
      <w:jc w:val="center"/>
      <w:outlineLvl w:val="0"/>
    </w:pPr>
    <w:rPr>
      <w:rFonts w:eastAsia="黑体"/>
      <w:b/>
      <w:bCs/>
      <w:kern w:val="44"/>
      <w:sz w:val="32"/>
      <w:szCs w:val="44"/>
    </w:rPr>
  </w:style>
  <w:style w:type="paragraph" w:styleId="7">
    <w:name w:val="heading 2"/>
    <w:basedOn w:val="1"/>
    <w:next w:val="1"/>
    <w:qFormat/>
    <w:uiPriority w:val="0"/>
    <w:pPr>
      <w:keepNext/>
      <w:keepLines/>
      <w:jc w:val="center"/>
      <w:outlineLvl w:val="1"/>
    </w:pPr>
    <w:rPr>
      <w:rFonts w:ascii="Cambria" w:hAnsi="Cambria" w:eastAsia="楷体_GB2312"/>
      <w:b/>
      <w:bCs/>
      <w:sz w:val="32"/>
      <w:szCs w:val="32"/>
    </w:rPr>
  </w:style>
  <w:style w:type="paragraph" w:styleId="8">
    <w:name w:val="heading 3"/>
    <w:basedOn w:val="1"/>
    <w:next w:val="1"/>
    <w:qFormat/>
    <w:uiPriority w:val="0"/>
    <w:pPr>
      <w:keepNext/>
      <w:keepLines/>
      <w:jc w:val="center"/>
      <w:outlineLvl w:val="2"/>
    </w:pPr>
    <w:rPr>
      <w:rFonts w:ascii="宋体" w:hAnsi="宋体" w:eastAsia="黑体"/>
      <w:b/>
      <w:bCs/>
      <w:szCs w:val="32"/>
    </w:rPr>
  </w:style>
  <w:style w:type="paragraph" w:styleId="9">
    <w:name w:val="heading 4"/>
    <w:basedOn w:val="1"/>
    <w:next w:val="1"/>
    <w:qFormat/>
    <w:uiPriority w:val="99"/>
    <w:pPr>
      <w:keepNext/>
      <w:keepLines/>
      <w:ind w:firstLine="0" w:firstLineChars="0"/>
      <w:jc w:val="left"/>
      <w:outlineLvl w:val="3"/>
    </w:pPr>
    <w:rPr>
      <w:rFonts w:hAnsi="Cambria" w:cs="Times New Roman"/>
      <w:b/>
      <w:bCs/>
      <w:szCs w:val="28"/>
    </w:rPr>
  </w:style>
  <w:style w:type="paragraph" w:styleId="10">
    <w:name w:val="heading 9"/>
    <w:basedOn w:val="1"/>
    <w:next w:val="1"/>
    <w:unhideWhenUsed/>
    <w:qFormat/>
    <w:uiPriority w:val="0"/>
    <w:pPr>
      <w:keepNext/>
      <w:keepLines/>
      <w:spacing w:before="240" w:after="64" w:line="317" w:lineRule="auto"/>
      <w:outlineLvl w:val="8"/>
    </w:pPr>
    <w:rPr>
      <w:rFonts w:ascii="Arial" w:hAnsi="Arial" w:eastAsia="黑体"/>
      <w:sz w:val="21"/>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adjustRightInd w:val="0"/>
    </w:pPr>
    <w:rPr>
      <w:rFonts w:ascii="宋体" w:cs="宋体"/>
      <w:sz w:val="24"/>
    </w:rPr>
  </w:style>
  <w:style w:type="paragraph" w:customStyle="1" w:styleId="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4">
    <w:name w:val="Body Text First Indent 2"/>
    <w:basedOn w:val="5"/>
    <w:next w:val="1"/>
    <w:qFormat/>
    <w:uiPriority w:val="0"/>
    <w:pPr>
      <w:tabs>
        <w:tab w:val="left" w:pos="0"/>
        <w:tab w:val="left" w:pos="870"/>
        <w:tab w:val="left" w:pos="3150"/>
      </w:tabs>
      <w:autoSpaceDE w:val="0"/>
      <w:autoSpaceDN w:val="0"/>
      <w:adjustRightInd w:val="0"/>
      <w:ind w:firstLine="527" w:firstLineChars="0"/>
    </w:pPr>
    <w:rPr>
      <w:rFonts w:ascii="宋体"/>
      <w:sz w:val="24"/>
      <w:szCs w:val="20"/>
    </w:rPr>
  </w:style>
  <w:style w:type="paragraph" w:styleId="5">
    <w:name w:val="Body Text Indent"/>
    <w:basedOn w:val="1"/>
    <w:next w:val="4"/>
    <w:qFormat/>
    <w:uiPriority w:val="0"/>
    <w:pPr>
      <w:ind w:firstLine="630" w:firstLineChars="225"/>
    </w:pPr>
  </w:style>
  <w:style w:type="paragraph" w:styleId="11">
    <w:name w:val="Normal Indent"/>
    <w:basedOn w:val="1"/>
    <w:qFormat/>
    <w:uiPriority w:val="0"/>
    <w:pPr>
      <w:widowControl/>
      <w:spacing w:before="100" w:beforeAutospacing="1" w:after="100" w:afterAutospacing="1"/>
      <w:jc w:val="left"/>
    </w:pPr>
    <w:rPr>
      <w:rFonts w:ascii="宋体" w:hAnsi="宋体"/>
      <w:kern w:val="0"/>
      <w:sz w:val="24"/>
    </w:rPr>
  </w:style>
  <w:style w:type="paragraph" w:styleId="12">
    <w:name w:val="annotation text"/>
    <w:basedOn w:val="1"/>
    <w:link w:val="68"/>
    <w:qFormat/>
    <w:uiPriority w:val="0"/>
    <w:pPr>
      <w:jc w:val="left"/>
    </w:pPr>
  </w:style>
  <w:style w:type="paragraph" w:styleId="13">
    <w:name w:val="Body Text"/>
    <w:basedOn w:val="1"/>
    <w:qFormat/>
    <w:uiPriority w:val="0"/>
  </w:style>
  <w:style w:type="paragraph" w:styleId="14">
    <w:name w:val="Plain Text"/>
    <w:basedOn w:val="1"/>
    <w:qFormat/>
    <w:uiPriority w:val="0"/>
    <w:rPr>
      <w:rFonts w:ascii="宋体" w:hAnsi="Courier New"/>
      <w:szCs w:val="21"/>
    </w:rPr>
  </w:style>
  <w:style w:type="paragraph" w:styleId="15">
    <w:name w:val="Date"/>
    <w:basedOn w:val="1"/>
    <w:next w:val="1"/>
    <w:qFormat/>
    <w:uiPriority w:val="0"/>
    <w:pPr>
      <w:ind w:left="100" w:leftChars="2500"/>
    </w:pPr>
    <w:rPr>
      <w:rFonts w:ascii="宋体" w:hAnsi="宋体"/>
      <w:b/>
      <w:bCs/>
      <w:color w:val="000000"/>
    </w:rPr>
  </w:style>
  <w:style w:type="paragraph" w:styleId="16">
    <w:name w:val="Body Text Indent 2"/>
    <w:basedOn w:val="1"/>
    <w:qFormat/>
    <w:uiPriority w:val="0"/>
    <w:pPr>
      <w:adjustRightInd w:val="0"/>
      <w:snapToGrid w:val="0"/>
      <w:ind w:firstLine="480" w:firstLineChars="200"/>
    </w:pPr>
    <w:rPr>
      <w:rFonts w:ascii="宋体" w:hAnsi="宋体"/>
      <w:color w:val="FF0000"/>
      <w:sz w:val="24"/>
    </w:rPr>
  </w:style>
  <w:style w:type="paragraph" w:styleId="17">
    <w:name w:val="Balloon Text"/>
    <w:basedOn w:val="1"/>
    <w:link w:val="70"/>
    <w:qFormat/>
    <w:uiPriority w:val="0"/>
    <w:pPr>
      <w:spacing w:line="240" w:lineRule="auto"/>
    </w:pPr>
    <w:rPr>
      <w:sz w:val="18"/>
      <w:szCs w:val="18"/>
    </w:rPr>
  </w:style>
  <w:style w:type="paragraph" w:styleId="18">
    <w:name w:val="footer"/>
    <w:basedOn w:val="1"/>
    <w:next w:val="19"/>
    <w:qFormat/>
    <w:uiPriority w:val="0"/>
    <w:pPr>
      <w:tabs>
        <w:tab w:val="center" w:pos="4153"/>
        <w:tab w:val="right" w:pos="8306"/>
      </w:tabs>
      <w:snapToGrid w:val="0"/>
      <w:jc w:val="left"/>
    </w:pPr>
    <w:rPr>
      <w:sz w:val="18"/>
    </w:rPr>
  </w:style>
  <w:style w:type="paragraph" w:styleId="19">
    <w:name w:val="Normal (Web)"/>
    <w:basedOn w:val="1"/>
    <w:next w:val="1"/>
    <w:qFormat/>
    <w:uiPriority w:val="0"/>
    <w:pPr>
      <w:widowControl/>
      <w:spacing w:before="100" w:beforeAutospacing="1" w:after="100" w:afterAutospacing="1"/>
      <w:jc w:val="left"/>
    </w:pPr>
    <w:rPr>
      <w:rFonts w:ascii="宋体" w:hAnsi="宋体"/>
      <w:kern w:val="0"/>
      <w:sz w:val="24"/>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1">
    <w:name w:val="toc 1"/>
    <w:basedOn w:val="1"/>
    <w:next w:val="1"/>
    <w:qFormat/>
    <w:uiPriority w:val="39"/>
  </w:style>
  <w:style w:type="paragraph" w:styleId="22">
    <w:name w:val="Body Text Indent 3"/>
    <w:basedOn w:val="1"/>
    <w:qFormat/>
    <w:uiPriority w:val="0"/>
    <w:pPr>
      <w:ind w:firstLine="630"/>
    </w:pPr>
    <w:rPr>
      <w:sz w:val="24"/>
    </w:rPr>
  </w:style>
  <w:style w:type="paragraph" w:styleId="23">
    <w:name w:val="toc 2"/>
    <w:basedOn w:val="1"/>
    <w:next w:val="1"/>
    <w:qFormat/>
    <w:uiPriority w:val="39"/>
    <w:pPr>
      <w:ind w:left="420" w:leftChars="200"/>
    </w:p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rPr>
  </w:style>
  <w:style w:type="paragraph" w:styleId="25">
    <w:name w:val="Title"/>
    <w:basedOn w:val="1"/>
    <w:next w:val="1"/>
    <w:qFormat/>
    <w:uiPriority w:val="0"/>
    <w:pPr>
      <w:spacing w:before="840" w:after="100" w:afterAutospacing="1"/>
      <w:jc w:val="center"/>
      <w:outlineLvl w:val="0"/>
    </w:pPr>
    <w:rPr>
      <w:rFonts w:ascii="Arial" w:hAnsi="Arial" w:eastAsia="黑体" w:cs="Arial"/>
      <w:b/>
      <w:bCs/>
      <w:sz w:val="32"/>
      <w:szCs w:val="32"/>
    </w:rPr>
  </w:style>
  <w:style w:type="paragraph" w:styleId="26">
    <w:name w:val="annotation subject"/>
    <w:basedOn w:val="12"/>
    <w:next w:val="12"/>
    <w:link w:val="69"/>
    <w:qFormat/>
    <w:uiPriority w:val="0"/>
    <w:rPr>
      <w:b/>
      <w:bCs/>
    </w:rPr>
  </w:style>
  <w:style w:type="paragraph" w:styleId="27">
    <w:name w:val="Body Text First Indent"/>
    <w:basedOn w:val="13"/>
    <w:next w:val="1"/>
    <w:qFormat/>
    <w:uiPriority w:val="0"/>
    <w:pPr>
      <w:spacing w:after="120"/>
      <w:ind w:firstLine="420" w:firstLineChars="100"/>
    </w:pPr>
    <w:rPr>
      <w:rFonts w:ascii="Verdana" w:hAnsi="Verdana"/>
      <w:sz w:val="21"/>
      <w:lang w:eastAsia="en-US"/>
    </w:rPr>
  </w:style>
  <w:style w:type="table" w:styleId="29">
    <w:name w:val="Table Grid"/>
    <w:basedOn w:val="2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1">
    <w:name w:val="page number"/>
    <w:basedOn w:val="30"/>
    <w:qFormat/>
    <w:uiPriority w:val="0"/>
  </w:style>
  <w:style w:type="character" w:styleId="32">
    <w:name w:val="Hyperlink"/>
    <w:basedOn w:val="30"/>
    <w:qFormat/>
    <w:uiPriority w:val="0"/>
    <w:rPr>
      <w:color w:val="0000FF"/>
      <w:u w:val="single"/>
    </w:rPr>
  </w:style>
  <w:style w:type="character" w:styleId="33">
    <w:name w:val="annotation reference"/>
    <w:basedOn w:val="30"/>
    <w:qFormat/>
    <w:uiPriority w:val="0"/>
    <w:rPr>
      <w:sz w:val="21"/>
      <w:szCs w:val="21"/>
    </w:rPr>
  </w:style>
  <w:style w:type="character" w:customStyle="1" w:styleId="34">
    <w:name w:val="标题 1 Char"/>
    <w:link w:val="6"/>
    <w:qFormat/>
    <w:uiPriority w:val="0"/>
    <w:rPr>
      <w:rFonts w:eastAsia="黑体"/>
      <w:b/>
      <w:bCs/>
      <w:kern w:val="44"/>
      <w:sz w:val="32"/>
      <w:szCs w:val="44"/>
    </w:rPr>
  </w:style>
  <w:style w:type="paragraph" w:customStyle="1" w:styleId="35">
    <w:name w:val="样式 10 磅"/>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6">
    <w:name w:val="Char Char Char"/>
    <w:basedOn w:val="1"/>
    <w:qFormat/>
    <w:uiPriority w:val="0"/>
  </w:style>
  <w:style w:type="paragraph" w:customStyle="1" w:styleId="37">
    <w:name w:val="_Style 2"/>
    <w:basedOn w:val="6"/>
    <w:next w:val="1"/>
    <w:qFormat/>
    <w:uiPriority w:val="0"/>
    <w:pPr>
      <w:widowControl/>
      <w:spacing w:before="480" w:line="276" w:lineRule="auto"/>
      <w:jc w:val="left"/>
      <w:outlineLvl w:val="9"/>
    </w:pPr>
    <w:rPr>
      <w:rFonts w:ascii="Cambria" w:hAnsi="Cambria" w:eastAsia="宋体"/>
      <w:color w:val="365F91"/>
      <w:kern w:val="0"/>
      <w:sz w:val="28"/>
      <w:szCs w:val="28"/>
    </w:rPr>
  </w:style>
  <w:style w:type="paragraph" w:customStyle="1" w:styleId="38">
    <w:name w:val="aa正文"/>
    <w:basedOn w:val="1"/>
    <w:qFormat/>
    <w:uiPriority w:val="0"/>
    <w:pPr>
      <w:ind w:firstLine="200" w:firstLineChars="200"/>
    </w:pPr>
  </w:style>
  <w:style w:type="paragraph" w:customStyle="1" w:styleId="39">
    <w:name w:val="文档正文"/>
    <w:basedOn w:val="1"/>
    <w:qFormat/>
    <w:uiPriority w:val="0"/>
    <w:pPr>
      <w:ind w:right="250" w:rightChars="119" w:firstLine="480" w:firstLineChars="200"/>
    </w:pPr>
    <w:rPr>
      <w:rFonts w:hAnsi="宋体"/>
      <w:sz w:val="24"/>
    </w:rPr>
  </w:style>
  <w:style w:type="character" w:customStyle="1" w:styleId="40">
    <w:name w:val="表头 Char Char Char"/>
    <w:basedOn w:val="30"/>
    <w:qFormat/>
    <w:uiPriority w:val="0"/>
    <w:rPr>
      <w:rFonts w:ascii="宋体" w:eastAsia="宋体"/>
      <w:snapToGrid w:val="0"/>
      <w:spacing w:val="6"/>
      <w:kern w:val="10"/>
      <w:sz w:val="24"/>
    </w:rPr>
  </w:style>
  <w:style w:type="paragraph" w:customStyle="1" w:styleId="41">
    <w:name w:val="p0"/>
    <w:basedOn w:val="1"/>
    <w:qFormat/>
    <w:uiPriority w:val="0"/>
    <w:pPr>
      <w:widowControl/>
    </w:pPr>
    <w:rPr>
      <w:kern w:val="0"/>
      <w:szCs w:val="21"/>
    </w:rPr>
  </w:style>
  <w:style w:type="character" w:customStyle="1" w:styleId="42">
    <w:name w:val="1 Char1"/>
    <w:qFormat/>
    <w:uiPriority w:val="0"/>
    <w:rPr>
      <w:rFonts w:ascii="Arial" w:hAnsi="Arial" w:eastAsia="黑体"/>
      <w:b/>
      <w:bCs/>
      <w:kern w:val="2"/>
      <w:sz w:val="32"/>
      <w:szCs w:val="32"/>
      <w:lang w:val="en-US" w:eastAsia="zh-CN" w:bidi="ar-SA"/>
    </w:rPr>
  </w:style>
  <w:style w:type="paragraph" w:customStyle="1" w:styleId="43">
    <w:name w:val="样式 标题 3条标题1.1.1 + 黑体"/>
    <w:basedOn w:val="8"/>
    <w:qFormat/>
    <w:uiPriority w:val="0"/>
    <w:pPr>
      <w:keepNext w:val="0"/>
      <w:keepLines w:val="0"/>
      <w:adjustRightInd w:val="0"/>
      <w:snapToGrid w:val="0"/>
      <w:jc w:val="left"/>
      <w:textAlignment w:val="baseline"/>
    </w:pPr>
    <w:rPr>
      <w:color w:val="000000"/>
      <w:kern w:val="0"/>
      <w:szCs w:val="28"/>
    </w:rPr>
  </w:style>
  <w:style w:type="paragraph" w:customStyle="1" w:styleId="44">
    <w:name w:val="表标题"/>
    <w:basedOn w:val="19"/>
    <w:qFormat/>
    <w:uiPriority w:val="0"/>
    <w:pPr>
      <w:spacing w:before="0" w:beforeAutospacing="0" w:after="0" w:afterAutospacing="0" w:line="560" w:lineRule="exact"/>
      <w:jc w:val="center"/>
    </w:pPr>
    <w:rPr>
      <w:rFonts w:ascii="Times New Roman" w:hAnsi="Times New Roman" w:eastAsia="仿宋"/>
      <w:b/>
      <w:bCs/>
      <w:sz w:val="28"/>
      <w:szCs w:val="18"/>
    </w:rPr>
  </w:style>
  <w:style w:type="paragraph" w:customStyle="1" w:styleId="45">
    <w:name w:val="表内容"/>
    <w:basedOn w:val="1"/>
    <w:qFormat/>
    <w:uiPriority w:val="99"/>
    <w:pPr>
      <w:jc w:val="center"/>
    </w:pPr>
    <w:rPr>
      <w:rFonts w:eastAsia="仿宋"/>
      <w:kern w:val="0"/>
      <w:sz w:val="24"/>
    </w:rPr>
  </w:style>
  <w:style w:type="character" w:customStyle="1" w:styleId="46">
    <w:name w:val="表头 Char Char"/>
    <w:basedOn w:val="30"/>
    <w:link w:val="47"/>
    <w:qFormat/>
    <w:uiPriority w:val="0"/>
    <w:rPr>
      <w:rFonts w:ascii="宋体"/>
      <w:snapToGrid w:val="0"/>
      <w:spacing w:val="6"/>
      <w:kern w:val="10"/>
      <w:sz w:val="24"/>
      <w:szCs w:val="20"/>
    </w:rPr>
  </w:style>
  <w:style w:type="paragraph" w:customStyle="1" w:styleId="47">
    <w:name w:val="表头"/>
    <w:basedOn w:val="1"/>
    <w:link w:val="46"/>
    <w:qFormat/>
    <w:uiPriority w:val="0"/>
    <w:pPr>
      <w:adjustRightInd w:val="0"/>
      <w:snapToGrid w:val="0"/>
      <w:jc w:val="center"/>
      <w:textAlignment w:val="baseline"/>
    </w:pPr>
    <w:rPr>
      <w:rFonts w:ascii="宋体"/>
      <w:snapToGrid w:val="0"/>
      <w:spacing w:val="6"/>
      <w:kern w:val="10"/>
      <w:sz w:val="24"/>
      <w:szCs w:val="20"/>
    </w:rPr>
  </w:style>
  <w:style w:type="paragraph" w:customStyle="1" w:styleId="48">
    <w:name w:val="正文表格"/>
    <w:qFormat/>
    <w:uiPriority w:val="0"/>
    <w:pPr>
      <w:keepNext/>
      <w:keepLines/>
      <w:overflowPunct w:val="0"/>
      <w:adjustRightInd w:val="0"/>
      <w:spacing w:before="80"/>
      <w:jc w:val="center"/>
      <w:textAlignment w:val="bottom"/>
    </w:pPr>
    <w:rPr>
      <w:rFonts w:ascii="Times New Roman" w:hAnsi="Times New Roman" w:eastAsia="宋体" w:cs="Times New Roman"/>
      <w:sz w:val="28"/>
      <w:lang w:val="en-US" w:eastAsia="zh-CN" w:bidi="ar-SA"/>
    </w:rPr>
  </w:style>
  <w:style w:type="character" w:customStyle="1" w:styleId="49">
    <w:name w:val="ttitle1"/>
    <w:basedOn w:val="30"/>
    <w:qFormat/>
    <w:uiPriority w:val="0"/>
    <w:rPr>
      <w:spacing w:val="120"/>
      <w:sz w:val="18"/>
      <w:szCs w:val="18"/>
    </w:rPr>
  </w:style>
  <w:style w:type="paragraph" w:customStyle="1" w:styleId="50">
    <w:name w:val="正文LXF"/>
    <w:basedOn w:val="1"/>
    <w:qFormat/>
    <w:uiPriority w:val="0"/>
    <w:pPr>
      <w:spacing w:line="580" w:lineRule="atLeast"/>
      <w:ind w:firstLine="200" w:firstLineChars="200"/>
    </w:pPr>
    <w:rPr>
      <w:szCs w:val="20"/>
    </w:rPr>
  </w:style>
  <w:style w:type="paragraph" w:customStyle="1" w:styleId="51">
    <w:name w:val="zw"/>
    <w:basedOn w:val="1"/>
    <w:qFormat/>
    <w:uiPriority w:val="0"/>
    <w:pPr>
      <w:widowControl/>
      <w:spacing w:before="100" w:beforeAutospacing="1" w:after="100" w:afterAutospacing="1" w:line="440" w:lineRule="atLeast"/>
      <w:jc w:val="left"/>
    </w:pPr>
    <w:rPr>
      <w:rFonts w:ascii="宋体" w:hAnsi="宋体" w:cs="宋体"/>
      <w:kern w:val="0"/>
      <w:sz w:val="22"/>
      <w:szCs w:val="22"/>
    </w:rPr>
  </w:style>
  <w:style w:type="character" w:customStyle="1" w:styleId="52">
    <w:name w:val="zw1"/>
    <w:basedOn w:val="30"/>
    <w:qFormat/>
    <w:uiPriority w:val="0"/>
    <w:rPr>
      <w:rFonts w:hint="eastAsia" w:ascii="宋体" w:hAnsi="宋体" w:eastAsia="宋体"/>
      <w:sz w:val="22"/>
      <w:szCs w:val="22"/>
    </w:rPr>
  </w:style>
  <w:style w:type="paragraph" w:customStyle="1" w:styleId="53">
    <w:name w:val="p17"/>
    <w:basedOn w:val="1"/>
    <w:qFormat/>
    <w:uiPriority w:val="0"/>
    <w:pPr>
      <w:widowControl/>
      <w:spacing w:line="560" w:lineRule="atLeast"/>
      <w:jc w:val="center"/>
    </w:pPr>
    <w:rPr>
      <w:b/>
      <w:bCs/>
      <w:kern w:val="0"/>
      <w:szCs w:val="28"/>
    </w:rPr>
  </w:style>
  <w:style w:type="paragraph" w:customStyle="1" w:styleId="54">
    <w:name w:val="p15"/>
    <w:basedOn w:val="1"/>
    <w:qFormat/>
    <w:uiPriority w:val="0"/>
    <w:pPr>
      <w:widowControl/>
      <w:jc w:val="center"/>
    </w:pPr>
    <w:rPr>
      <w:kern w:val="0"/>
      <w:sz w:val="24"/>
    </w:rPr>
  </w:style>
  <w:style w:type="paragraph" w:customStyle="1" w:styleId="55">
    <w:name w:val="toc 84"/>
    <w:next w:val="1"/>
    <w:qFormat/>
    <w:uiPriority w:val="99"/>
    <w:pPr>
      <w:wordWrap w:val="0"/>
      <w:ind w:left="2975"/>
      <w:jc w:val="both"/>
    </w:pPr>
    <w:rPr>
      <w:rFonts w:ascii="宋体" w:hAnsi="Calibri" w:eastAsia="宋体" w:cs="宋体"/>
      <w:sz w:val="21"/>
      <w:szCs w:val="21"/>
      <w:lang w:val="en-US" w:eastAsia="zh-CN" w:bidi="ar-SA"/>
    </w:rPr>
  </w:style>
  <w:style w:type="character" w:customStyle="1" w:styleId="56">
    <w:name w:val="font41"/>
    <w:basedOn w:val="30"/>
    <w:qFormat/>
    <w:uiPriority w:val="0"/>
    <w:rPr>
      <w:rFonts w:hint="eastAsia" w:ascii="宋体" w:hAnsi="宋体" w:eastAsia="宋体" w:cs="宋体"/>
      <w:color w:val="000000"/>
      <w:sz w:val="22"/>
      <w:szCs w:val="22"/>
      <w:u w:val="none"/>
    </w:rPr>
  </w:style>
  <w:style w:type="character" w:customStyle="1" w:styleId="57">
    <w:name w:val="font21"/>
    <w:basedOn w:val="30"/>
    <w:qFormat/>
    <w:uiPriority w:val="0"/>
    <w:rPr>
      <w:rFonts w:hint="eastAsia" w:ascii="仿宋" w:hAnsi="仿宋" w:eastAsia="仿宋" w:cs="仿宋"/>
      <w:color w:val="000000"/>
      <w:sz w:val="22"/>
      <w:szCs w:val="22"/>
      <w:u w:val="none"/>
    </w:rPr>
  </w:style>
  <w:style w:type="paragraph" w:customStyle="1" w:styleId="58">
    <w:name w:val="CM17"/>
    <w:basedOn w:val="2"/>
    <w:next w:val="2"/>
    <w:semiHidden/>
    <w:qFormat/>
    <w:uiPriority w:val="0"/>
    <w:pPr>
      <w:spacing w:line="546" w:lineRule="atLeast"/>
    </w:pPr>
    <w:rPr>
      <w:rFonts w:hAnsi="宋体" w:cs="Times New Roman"/>
    </w:rPr>
  </w:style>
  <w:style w:type="paragraph" w:customStyle="1" w:styleId="59">
    <w:name w:val="CM13"/>
    <w:basedOn w:val="2"/>
    <w:next w:val="2"/>
    <w:semiHidden/>
    <w:qFormat/>
    <w:uiPriority w:val="0"/>
    <w:pPr>
      <w:spacing w:line="546" w:lineRule="atLeast"/>
    </w:pPr>
    <w:rPr>
      <w:rFonts w:hAnsi="宋体" w:cs="Times New Roman"/>
    </w:rPr>
  </w:style>
  <w:style w:type="paragraph" w:customStyle="1" w:styleId="60">
    <w:name w:val="样式7正文"/>
    <w:basedOn w:val="1"/>
    <w:qFormat/>
    <w:uiPriority w:val="0"/>
    <w:pPr>
      <w:ind w:firstLine="560" w:firstLineChars="200"/>
      <w:jc w:val="left"/>
    </w:pPr>
    <w:rPr>
      <w:rFonts w:ascii="宋体" w:hAnsi="宋体" w:cs="宋体"/>
      <w:szCs w:val="28"/>
    </w:rPr>
  </w:style>
  <w:style w:type="paragraph" w:customStyle="1" w:styleId="61">
    <w:name w:val="CM12"/>
    <w:basedOn w:val="1"/>
    <w:next w:val="1"/>
    <w:semiHidden/>
    <w:qFormat/>
    <w:uiPriority w:val="0"/>
    <w:pPr>
      <w:autoSpaceDE w:val="0"/>
      <w:autoSpaceDN w:val="0"/>
      <w:adjustRightInd w:val="0"/>
      <w:spacing w:line="546" w:lineRule="atLeast"/>
      <w:jc w:val="left"/>
    </w:pPr>
    <w:rPr>
      <w:rFonts w:ascii="宋体" w:hAnsi="宋体"/>
      <w:color w:val="000000"/>
      <w:kern w:val="0"/>
      <w:sz w:val="24"/>
    </w:rPr>
  </w:style>
  <w:style w:type="paragraph" w:customStyle="1" w:styleId="62">
    <w:name w:val="表格1（标题）"/>
    <w:basedOn w:val="1"/>
    <w:qFormat/>
    <w:uiPriority w:val="0"/>
    <w:pPr>
      <w:widowControl/>
      <w:suppressAutoHyphens/>
      <w:adjustRightInd w:val="0"/>
      <w:snapToGrid w:val="0"/>
      <w:jc w:val="center"/>
      <w:textAlignment w:val="center"/>
      <w:outlineLvl w:val="8"/>
    </w:pPr>
    <w:rPr>
      <w:rFonts w:cs="黑体"/>
      <w:b/>
      <w:bCs/>
      <w:color w:val="000000"/>
      <w:kern w:val="21"/>
      <w:sz w:val="24"/>
    </w:rPr>
  </w:style>
  <w:style w:type="paragraph" w:customStyle="1" w:styleId="63">
    <w:name w:val="列出段落1"/>
    <w:basedOn w:val="1"/>
    <w:qFormat/>
    <w:uiPriority w:val="0"/>
    <w:pPr>
      <w:widowControl/>
      <w:ind w:firstLine="420" w:firstLineChars="200"/>
      <w:jc w:val="left"/>
    </w:pPr>
    <w:rPr>
      <w:kern w:val="0"/>
      <w:sz w:val="24"/>
    </w:rPr>
  </w:style>
  <w:style w:type="paragraph" w:customStyle="1" w:styleId="64">
    <w:name w:val="表格"/>
    <w:basedOn w:val="1"/>
    <w:next w:val="1"/>
    <w:qFormat/>
    <w:uiPriority w:val="0"/>
    <w:pPr>
      <w:adjustRightInd w:val="0"/>
      <w:spacing w:line="312" w:lineRule="atLeast"/>
      <w:jc w:val="center"/>
    </w:pPr>
    <w:rPr>
      <w:kern w:val="0"/>
      <w:szCs w:val="20"/>
    </w:rPr>
  </w:style>
  <w:style w:type="paragraph" w:customStyle="1" w:styleId="65">
    <w:name w:val="表格内文字"/>
    <w:basedOn w:val="1"/>
    <w:qFormat/>
    <w:uiPriority w:val="0"/>
    <w:pPr>
      <w:pBdr>
        <w:top w:val="none" w:color="auto" w:sz="0" w:space="1"/>
        <w:left w:val="none" w:color="auto" w:sz="0" w:space="1"/>
        <w:bottom w:val="none" w:color="auto" w:sz="0" w:space="1"/>
        <w:right w:val="none" w:color="auto" w:sz="0" w:space="1"/>
      </w:pBdr>
      <w:tabs>
        <w:tab w:val="left" w:pos="0"/>
      </w:tabs>
      <w:adjustRightInd w:val="0"/>
      <w:snapToGrid w:val="0"/>
      <w:spacing w:line="320" w:lineRule="exact"/>
      <w:jc w:val="center"/>
    </w:pPr>
    <w:rPr>
      <w:kern w:val="21"/>
      <w:sz w:val="21"/>
    </w:rPr>
  </w:style>
  <w:style w:type="paragraph" w:customStyle="1" w:styleId="66">
    <w:name w:val="a9"/>
    <w:basedOn w:val="1"/>
    <w:qFormat/>
    <w:uiPriority w:val="0"/>
    <w:pPr>
      <w:widowControl/>
      <w:spacing w:before="100" w:beforeAutospacing="1" w:after="100" w:afterAutospacing="1"/>
      <w:jc w:val="left"/>
    </w:pPr>
    <w:rPr>
      <w:rFonts w:ascii="宋体" w:hAnsi="宋体" w:cs="宋体"/>
      <w:kern w:val="0"/>
      <w:sz w:val="24"/>
    </w:rPr>
  </w:style>
  <w:style w:type="paragraph" w:customStyle="1" w:styleId="67">
    <w:name w:val="xl24"/>
    <w:basedOn w:val="1"/>
    <w:qFormat/>
    <w:uiPriority w:val="0"/>
    <w:pPr>
      <w:widowControl/>
      <w:pBdr>
        <w:bottom w:val="single" w:color="auto" w:sz="4" w:space="0"/>
        <w:right w:val="single" w:color="auto" w:sz="4" w:space="0"/>
      </w:pBdr>
      <w:spacing w:before="100" w:after="100"/>
    </w:pPr>
    <w:rPr>
      <w:rFonts w:hint="eastAsia" w:ascii="宋体" w:hAnsi="宋体"/>
      <w:kern w:val="0"/>
      <w:szCs w:val="20"/>
    </w:rPr>
  </w:style>
  <w:style w:type="character" w:customStyle="1" w:styleId="68">
    <w:name w:val="批注文字 Char"/>
    <w:basedOn w:val="30"/>
    <w:link w:val="12"/>
    <w:qFormat/>
    <w:uiPriority w:val="0"/>
    <w:rPr>
      <w:kern w:val="2"/>
      <w:sz w:val="28"/>
      <w:szCs w:val="24"/>
    </w:rPr>
  </w:style>
  <w:style w:type="character" w:customStyle="1" w:styleId="69">
    <w:name w:val="批注主题 Char"/>
    <w:basedOn w:val="68"/>
    <w:link w:val="26"/>
    <w:qFormat/>
    <w:uiPriority w:val="0"/>
    <w:rPr>
      <w:b/>
      <w:bCs/>
      <w:kern w:val="2"/>
      <w:sz w:val="28"/>
      <w:szCs w:val="24"/>
    </w:rPr>
  </w:style>
  <w:style w:type="character" w:customStyle="1" w:styleId="70">
    <w:name w:val="批注框文本 Char"/>
    <w:basedOn w:val="30"/>
    <w:link w:val="17"/>
    <w:qFormat/>
    <w:uiPriority w:val="0"/>
    <w:rPr>
      <w:kern w:val="2"/>
      <w:sz w:val="18"/>
      <w:szCs w:val="18"/>
    </w:rPr>
  </w:style>
  <w:style w:type="character" w:customStyle="1" w:styleId="71">
    <w:name w:val="font51"/>
    <w:basedOn w:val="30"/>
    <w:uiPriority w:val="0"/>
    <w:rPr>
      <w:rFonts w:hint="default" w:ascii="等线" w:hAnsi="等线" w:eastAsia="等线" w:cs="等线"/>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F831C7-55D5-4586-BC6C-FB3417063575}">
  <ds:schemaRefs/>
</ds:datastoreItem>
</file>

<file path=docProps/app.xml><?xml version="1.0" encoding="utf-8"?>
<Properties xmlns="http://schemas.openxmlformats.org/officeDocument/2006/extended-properties" xmlns:vt="http://schemas.openxmlformats.org/officeDocument/2006/docPropsVTypes">
  <Template>Normal</Template>
  <Pages>88</Pages>
  <Words>43928</Words>
  <Characters>48128</Characters>
  <Lines>378</Lines>
  <Paragraphs>106</Paragraphs>
  <TotalTime>26</TotalTime>
  <ScaleCrop>false</ScaleCrop>
  <LinksUpToDate>false</LinksUpToDate>
  <CharactersWithSpaces>48725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2021-09-07T02:28:00Z</dcterms:created>
  <dc:creator>不简单的简单</dc:creator>
  <cp:lastModifiedBy>WPS_1471833214</cp:lastModifiedBy>
  <cp:lastPrinted>2022-04-27T07:35:46Z</cp:lastPrinted>
  <dcterms:modified xsi:type="dcterms:W3CDTF">2022-04-27T08:01:35Z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3CA725C54C64456ABC81220F991B4876</vt:lpwstr>
  </property>
</Properties>
</file>